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A6B9" w14:textId="054A2DE1" w:rsidR="003E7B3D" w:rsidRPr="00BE05E5" w:rsidRDefault="003E7B3D" w:rsidP="003E7B3D">
      <w:pPr>
        <w:jc w:val="center"/>
        <w:rPr>
          <w:rFonts w:ascii="Palatino Linotype" w:hAnsi="Palatino Linotype" w:cs="Times New Roman"/>
          <w:b/>
          <w:sz w:val="18"/>
          <w:szCs w:val="18"/>
          <w:lang w:val="en-US"/>
        </w:rPr>
      </w:pPr>
      <w:r w:rsidRPr="00BE05E5">
        <w:rPr>
          <w:rFonts w:ascii="Palatino Linotype" w:hAnsi="Palatino Linotype" w:cs="Times New Roman"/>
          <w:b/>
          <w:sz w:val="18"/>
          <w:szCs w:val="18"/>
          <w:lang w:val="en-US"/>
        </w:rPr>
        <w:t>Supplementary Material</w:t>
      </w:r>
    </w:p>
    <w:p w14:paraId="31F1DFAE" w14:textId="7C1F5A93" w:rsidR="00CC4538" w:rsidRPr="00BE05E5" w:rsidRDefault="008B6584">
      <w:pPr>
        <w:rPr>
          <w:rFonts w:ascii="Palatino Linotype" w:hAnsi="Palatino Linotype" w:cs="Times New Roman"/>
          <w:sz w:val="18"/>
          <w:szCs w:val="18"/>
          <w:lang w:val="en-US"/>
        </w:rPr>
      </w:pPr>
      <w:r>
        <w:rPr>
          <w:rFonts w:ascii="Palatino Linotype" w:hAnsi="Palatino Linotype" w:cs="Times New Roman"/>
          <w:b/>
          <w:sz w:val="18"/>
          <w:szCs w:val="18"/>
          <w:lang w:val="en-US"/>
        </w:rPr>
        <w:t xml:space="preserve">Supplementary </w:t>
      </w:r>
      <w:r w:rsidR="00BE05E5">
        <w:rPr>
          <w:rFonts w:ascii="Palatino Linotype" w:hAnsi="Palatino Linotype" w:cs="Times New Roman"/>
          <w:b/>
          <w:sz w:val="18"/>
          <w:szCs w:val="18"/>
          <w:lang w:val="en-US"/>
        </w:rPr>
        <w:t>Table</w:t>
      </w:r>
      <w:r w:rsidR="008B783E" w:rsidRPr="00BE05E5">
        <w:rPr>
          <w:rFonts w:ascii="Palatino Linotype" w:hAnsi="Palatino Linotype" w:cs="Times New Roman"/>
          <w:b/>
          <w:sz w:val="18"/>
          <w:szCs w:val="18"/>
          <w:lang w:val="en-US"/>
        </w:rPr>
        <w:t xml:space="preserve"> </w:t>
      </w:r>
      <w:r w:rsidR="00841F64" w:rsidRPr="00BE05E5">
        <w:rPr>
          <w:rFonts w:ascii="Palatino Linotype" w:hAnsi="Palatino Linotype" w:cs="Times New Roman"/>
          <w:b/>
          <w:sz w:val="18"/>
          <w:szCs w:val="18"/>
          <w:lang w:val="en-US"/>
        </w:rPr>
        <w:t>1.</w:t>
      </w:r>
      <w:r w:rsidR="00841F64" w:rsidRPr="00BE05E5">
        <w:rPr>
          <w:rFonts w:ascii="Palatino Linotype" w:hAnsi="Palatino Linotype" w:cs="Times New Roman"/>
          <w:sz w:val="18"/>
          <w:szCs w:val="18"/>
          <w:lang w:val="en-US"/>
        </w:rPr>
        <w:t xml:space="preserve"> Database search strategy</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20359"/>
        <w:gridCol w:w="825"/>
      </w:tblGrid>
      <w:tr w:rsidR="00841F64" w:rsidRPr="00BE05E5" w14:paraId="7D2FE906" w14:textId="77777777" w:rsidTr="00BE05E5">
        <w:tc>
          <w:tcPr>
            <w:tcW w:w="0" w:type="auto"/>
            <w:tcBorders>
              <w:top w:val="single" w:sz="4" w:space="0" w:color="auto"/>
              <w:bottom w:val="single" w:sz="4" w:space="0" w:color="auto"/>
            </w:tcBorders>
          </w:tcPr>
          <w:p w14:paraId="271EDF58" w14:textId="77777777" w:rsidR="00841F64" w:rsidRPr="00BE05E5" w:rsidRDefault="00841F64" w:rsidP="00BE5756">
            <w:pPr>
              <w:jc w:val="both"/>
              <w:rPr>
                <w:rFonts w:ascii="Palatino Linotype" w:hAnsi="Palatino Linotype" w:cs="Times New Roman"/>
                <w:bCs/>
                <w:sz w:val="18"/>
                <w:szCs w:val="18"/>
                <w:lang w:val="en-US"/>
              </w:rPr>
            </w:pPr>
            <w:r w:rsidRPr="00BE05E5">
              <w:rPr>
                <w:rFonts w:ascii="Palatino Linotype" w:hAnsi="Palatino Linotype" w:cs="Times New Roman"/>
                <w:b/>
                <w:bCs/>
                <w:sz w:val="18"/>
                <w:szCs w:val="18"/>
                <w:lang w:val="en-US"/>
              </w:rPr>
              <w:t>Database</w:t>
            </w:r>
          </w:p>
        </w:tc>
        <w:tc>
          <w:tcPr>
            <w:tcW w:w="0" w:type="auto"/>
            <w:tcBorders>
              <w:top w:val="single" w:sz="4" w:space="0" w:color="auto"/>
              <w:bottom w:val="single" w:sz="4" w:space="0" w:color="auto"/>
            </w:tcBorders>
          </w:tcPr>
          <w:p w14:paraId="666AF13B" w14:textId="77777777" w:rsidR="00841F64" w:rsidRPr="00BE05E5" w:rsidRDefault="00841F64" w:rsidP="00BE5756">
            <w:pPr>
              <w:jc w:val="center"/>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t>Search strategy</w:t>
            </w:r>
          </w:p>
          <w:p w14:paraId="2FB56277" w14:textId="77777777" w:rsidR="00841F64" w:rsidRPr="00BE05E5" w:rsidRDefault="00841F64" w:rsidP="00BE5756">
            <w:pPr>
              <w:jc w:val="center"/>
              <w:rPr>
                <w:rFonts w:ascii="Palatino Linotype" w:hAnsi="Palatino Linotype" w:cs="Times New Roman"/>
                <w:bCs/>
                <w:sz w:val="18"/>
                <w:szCs w:val="18"/>
                <w:lang w:val="en-US"/>
              </w:rPr>
            </w:pPr>
            <w:r w:rsidRPr="00BE05E5">
              <w:rPr>
                <w:rFonts w:ascii="Palatino Linotype" w:hAnsi="Palatino Linotype" w:cs="Times New Roman"/>
                <w:sz w:val="18"/>
                <w:szCs w:val="18"/>
                <w:lang w:val="en-US"/>
              </w:rPr>
              <w:t>(</w:t>
            </w:r>
            <w:proofErr w:type="gramStart"/>
            <w:r w:rsidRPr="00BE05E5">
              <w:rPr>
                <w:rFonts w:ascii="Palatino Linotype" w:hAnsi="Palatino Linotype" w:cs="Times New Roman"/>
                <w:sz w:val="18"/>
                <w:szCs w:val="18"/>
                <w:lang w:val="en-US"/>
              </w:rPr>
              <w:t>search</w:t>
            </w:r>
            <w:proofErr w:type="gramEnd"/>
            <w:r w:rsidRPr="00BE05E5">
              <w:rPr>
                <w:rFonts w:ascii="Palatino Linotype" w:hAnsi="Palatino Linotype" w:cs="Times New Roman"/>
                <w:sz w:val="18"/>
                <w:szCs w:val="18"/>
                <w:lang w:val="en-US"/>
              </w:rPr>
              <w:t xml:space="preserve"> date: October 12,</w:t>
            </w:r>
            <w:r w:rsidRPr="00BE05E5">
              <w:rPr>
                <w:rFonts w:ascii="Palatino Linotype" w:hAnsi="Palatino Linotype" w:cs="Times New Roman"/>
                <w:sz w:val="18"/>
                <w:szCs w:val="18"/>
                <w:vertAlign w:val="superscript"/>
                <w:lang w:val="en-US"/>
              </w:rPr>
              <w:t xml:space="preserve"> </w:t>
            </w:r>
            <w:r w:rsidRPr="00BE05E5">
              <w:rPr>
                <w:rFonts w:ascii="Palatino Linotype" w:hAnsi="Palatino Linotype" w:cs="Times New Roman"/>
                <w:sz w:val="18"/>
                <w:szCs w:val="18"/>
                <w:lang w:val="en-US"/>
              </w:rPr>
              <w:t>2021)</w:t>
            </w:r>
          </w:p>
        </w:tc>
        <w:tc>
          <w:tcPr>
            <w:tcW w:w="0" w:type="auto"/>
            <w:tcBorders>
              <w:top w:val="single" w:sz="4" w:space="0" w:color="auto"/>
              <w:bottom w:val="single" w:sz="4" w:space="0" w:color="auto"/>
            </w:tcBorders>
          </w:tcPr>
          <w:p w14:paraId="5C8F36A3" w14:textId="77777777" w:rsidR="00841F64" w:rsidRPr="00BE05E5" w:rsidRDefault="00841F64" w:rsidP="00BE5756">
            <w:pPr>
              <w:jc w:val="both"/>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t>Results</w:t>
            </w:r>
          </w:p>
        </w:tc>
      </w:tr>
      <w:tr w:rsidR="00841F64" w:rsidRPr="00BE05E5" w14:paraId="2CEB34F4" w14:textId="77777777" w:rsidTr="00BE05E5">
        <w:tc>
          <w:tcPr>
            <w:tcW w:w="0" w:type="auto"/>
            <w:tcBorders>
              <w:top w:val="single" w:sz="4" w:space="0" w:color="auto"/>
              <w:bottom w:val="single" w:sz="4" w:space="0" w:color="auto"/>
            </w:tcBorders>
          </w:tcPr>
          <w:p w14:paraId="320B74E8" w14:textId="1C83973F" w:rsidR="00841F64" w:rsidRPr="00BE05E5" w:rsidRDefault="00C35FCA" w:rsidP="00BE5756">
            <w:pPr>
              <w:jc w:val="both"/>
              <w:rPr>
                <w:rFonts w:ascii="Palatino Linotype" w:hAnsi="Palatino Linotype" w:cs="Times New Roman"/>
                <w:b/>
                <w:bCs/>
                <w:sz w:val="18"/>
                <w:szCs w:val="18"/>
                <w:lang w:val="en-US"/>
              </w:rPr>
            </w:pPr>
            <w:bookmarkStart w:id="0" w:name="_Hlk73448666"/>
            <w:r w:rsidRPr="00BE05E5">
              <w:rPr>
                <w:rFonts w:ascii="Palatino Linotype" w:hAnsi="Palatino Linotype" w:cs="Times New Roman"/>
                <w:b/>
                <w:bCs/>
                <w:sz w:val="18"/>
                <w:szCs w:val="18"/>
                <w:lang w:val="en-US"/>
              </w:rPr>
              <w:t>MEDLINE/PubMed</w:t>
            </w:r>
          </w:p>
        </w:tc>
        <w:tc>
          <w:tcPr>
            <w:tcW w:w="0" w:type="auto"/>
            <w:tcBorders>
              <w:top w:val="single" w:sz="4" w:space="0" w:color="auto"/>
              <w:bottom w:val="single" w:sz="4" w:space="0" w:color="auto"/>
            </w:tcBorders>
          </w:tcPr>
          <w:p w14:paraId="54691F7D" w14:textId="655EBE9E" w:rsidR="00841F64" w:rsidRPr="00BE05E5" w:rsidRDefault="00841F64" w:rsidP="00BE5756">
            <w:pPr>
              <w:jc w:val="both"/>
              <w:rPr>
                <w:rFonts w:ascii="Palatino Linotype" w:hAnsi="Palatino Linotype" w:cs="Times New Roman"/>
                <w:bCs/>
                <w:sz w:val="18"/>
                <w:szCs w:val="18"/>
                <w:lang w:val="en-US"/>
              </w:rPr>
            </w:pPr>
            <w:bookmarkStart w:id="1" w:name="_Hlk71005167"/>
            <w:r w:rsidRPr="00BE05E5">
              <w:rPr>
                <w:rFonts w:ascii="Palatino Linotype" w:hAnsi="Palatino Linotype" w:cs="Times New Roman"/>
                <w:bCs/>
                <w:sz w:val="18"/>
                <w:szCs w:val="18"/>
                <w:lang w:val="en-US"/>
              </w:rPr>
              <w:t>(“Truth Disclosure"[Mesh] OR “Truth Disclosure" OR "Truth-telling" OR "Truth telling" OR "Telling the Truth" OR Truth OR Truthing OR Truths OR "Access to Information" OR "Professional-Patient Relations" OR "Health Planning Guidelines"[Mesh] OR "Health Planning Guidelines" OR "Health Planning" OR Guideline OR Guidelines OR "Planning Guideline" OR "Planning Guidelines" OR "Guidelines for Health Planning" OR Recommendations OR Recommendation OR "Health Planning Recommendations" OR "Planning Recommendations" OR "Communication"[Mesh] OR Communication OR Communications OR Misinformation OR "Teach-Back Communication"[Mesh] OR "Teach-Back Communication" OR "Closed-Loop Communication" OR "Closed Loop Communication" OR "Closed-Loop Communications" OR “Teach-Back” OR "Closed-Loop" OR "Health Communication"[Mesh] OR "Health Communication" "Health Communications" OR "Communication Barriers"[Mesh] OR "Communication Barriers" OR "Communication Barrier" OR "Dentist-Patient Relations"[Mesh] OR "Dentist-Patient Relations" OR "Dentist-Patient Relation" OR "Dentist Patient Relation" OR "Dentist-Patient Relationship" OR "Dentist Patient Relationship" OR "Dentist-Patient Relationships" OR "Dentist Patient Relationships" OR "Physician-Patient Relations"[Mesh] OR "Physician-Patient Relations" OR "Physician-Patient Relation" OR "Physician Patient Relation" OR "Physician Patient Relationship" OR "Physician Patient Relationships" OR "Physician Patient Relations" OR "Physician Patient Relations" OR "Doctor Patient Relations" OR "Doctor Patient Relation" OR "Doctor-Patient Relations" OR "Doctor-Patient Relation" OR "Delivering bad news" OR "bad news" OR "receiving bad news" OR "deliver bad news" OR "communicate bad news" OR "Communication of bad news" OR "Breaking bad news" OR "break bad news" OR Protocol OR Protocols OR "Clinical Protocols"[Mesh] OR "Clinical Protocols" OR “Clinical Protocol” OR Questionnaires OR Questionnaire OR "Quality of Life"[Mesh] OR "Quality of Life")</w:t>
            </w:r>
            <w:bookmarkEnd w:id="1"/>
            <w:r w:rsidRPr="00BE05E5">
              <w:rPr>
                <w:rFonts w:ascii="Palatino Linotype" w:hAnsi="Palatino Linotype" w:cs="Times New Roman"/>
                <w:bCs/>
                <w:sz w:val="18"/>
                <w:szCs w:val="18"/>
                <w:lang w:val="en-US"/>
              </w:rPr>
              <w:t xml:space="preserve"> </w:t>
            </w:r>
            <w:r w:rsidRPr="00BE05E5">
              <w:rPr>
                <w:rFonts w:ascii="Palatino Linotype" w:hAnsi="Palatino Linotype" w:cs="Times New Roman"/>
                <w:b/>
                <w:sz w:val="18"/>
                <w:szCs w:val="18"/>
                <w:lang w:val="en-US"/>
              </w:rPr>
              <w:t xml:space="preserve">AND </w:t>
            </w:r>
            <w:r w:rsidRPr="00BE05E5">
              <w:rPr>
                <w:rFonts w:ascii="Palatino Linotype" w:hAnsi="Palatino Linotype" w:cs="Times New Roman"/>
                <w:sz w:val="18"/>
                <w:szCs w:val="18"/>
                <w:lang w:val="en-US"/>
              </w:rPr>
              <w:t xml:space="preserve">("Precancerous conditions"[Mesh] OR precancerous OR "pre-cancer" OR precancer OR preneoplastic OR "pre-neoplastic" OR "precursor lesion" OR "precursor lesions" OR "potentially malignant disorder" OR "potentially malignant disorders" OR "potentially malignant lesion" OR "potentially malignant lesions" OR premalignant OR "pre malignant" OR pre malignancy OR "pre malignancy" OR pre malignancies OR "pre malignancies" OR "Carcinoma in Situ"[Mesh] OR "Carcinoma in situ" OR "in situ carcinoma" OR "Carcinomas in situ" OR "in situ carcinomas" OR "preinvasive carcinoma" OR "preinvasive carcinomas" OR "pre-invasive carcinoma" OR "pre-invasive carcinomas" OR "intraepithelial carcinoma" OR "intraepithelial carcinomas" OR "intraepithelial neoplasm" OR "intraepithelial neoplasms" OR "intraepithelial neoplasia" OR "intraepithelial </w:t>
            </w:r>
            <w:proofErr w:type="spellStart"/>
            <w:r w:rsidRPr="00BE05E5">
              <w:rPr>
                <w:rFonts w:ascii="Palatino Linotype" w:hAnsi="Palatino Linotype" w:cs="Times New Roman"/>
                <w:sz w:val="18"/>
                <w:szCs w:val="18"/>
                <w:lang w:val="en-US"/>
              </w:rPr>
              <w:t>neoplasias</w:t>
            </w:r>
            <w:proofErr w:type="spellEnd"/>
            <w:r w:rsidRPr="00BE05E5">
              <w:rPr>
                <w:rFonts w:ascii="Palatino Linotype" w:hAnsi="Palatino Linotype" w:cs="Times New Roman"/>
                <w:sz w:val="18"/>
                <w:szCs w:val="18"/>
                <w:lang w:val="en-US"/>
              </w:rPr>
              <w:t xml:space="preserve">" OR "intraepithelial cancer" OR "Leukoplakia, Oral"[Mesh] OR "Leukoplakia"[Mesh] OR leukoplakia OR </w:t>
            </w:r>
            <w:proofErr w:type="spellStart"/>
            <w:r w:rsidRPr="00BE05E5">
              <w:rPr>
                <w:rFonts w:ascii="Palatino Linotype" w:hAnsi="Palatino Linotype" w:cs="Times New Roman"/>
                <w:sz w:val="18"/>
                <w:szCs w:val="18"/>
                <w:lang w:val="en-US"/>
              </w:rPr>
              <w:t>leukoplakias</w:t>
            </w:r>
            <w:proofErr w:type="spellEnd"/>
            <w:r w:rsidRPr="00BE05E5">
              <w:rPr>
                <w:rFonts w:ascii="Palatino Linotype" w:hAnsi="Palatino Linotype" w:cs="Times New Roman"/>
                <w:sz w:val="18"/>
                <w:szCs w:val="18"/>
                <w:lang w:val="en-US"/>
              </w:rPr>
              <w:t xml:space="preserve"> OR leukoplakic OR keratosis OR keratoses OR leukokeratosis OR leukokeratosis OR "proliferative verrucous leukoplakia" OR "</w:t>
            </w:r>
            <w:proofErr w:type="spellStart"/>
            <w:r w:rsidRPr="00BE05E5">
              <w:rPr>
                <w:rFonts w:ascii="Palatino Linotype" w:hAnsi="Palatino Linotype" w:cs="Times New Roman"/>
                <w:sz w:val="18"/>
                <w:szCs w:val="18"/>
                <w:lang w:val="en-US"/>
              </w:rPr>
              <w:t>Erythroplasia</w:t>
            </w:r>
            <w:proofErr w:type="spellEnd"/>
            <w:r w:rsidRPr="00BE05E5">
              <w:rPr>
                <w:rFonts w:ascii="Palatino Linotype" w:hAnsi="Palatino Linotype" w:cs="Times New Roman"/>
                <w:sz w:val="18"/>
                <w:szCs w:val="18"/>
                <w:lang w:val="en-US"/>
              </w:rPr>
              <w:t xml:space="preserve">"[Mesh] OR </w:t>
            </w:r>
            <w:proofErr w:type="spellStart"/>
            <w:r w:rsidRPr="00BE05E5">
              <w:rPr>
                <w:rFonts w:ascii="Palatino Linotype" w:hAnsi="Palatino Linotype" w:cs="Times New Roman"/>
                <w:sz w:val="18"/>
                <w:szCs w:val="18"/>
                <w:lang w:val="en-US"/>
              </w:rPr>
              <w:t>erythroplasia</w:t>
            </w:r>
            <w:proofErr w:type="spellEnd"/>
            <w:r w:rsidRPr="00BE05E5">
              <w:rPr>
                <w:rFonts w:ascii="Palatino Linotype" w:hAnsi="Palatino Linotype" w:cs="Times New Roman"/>
                <w:sz w:val="18"/>
                <w:szCs w:val="18"/>
                <w:lang w:val="en-US"/>
              </w:rPr>
              <w:t xml:space="preserve"> OR </w:t>
            </w:r>
            <w:proofErr w:type="spellStart"/>
            <w:r w:rsidRPr="00BE05E5">
              <w:rPr>
                <w:rFonts w:ascii="Palatino Linotype" w:hAnsi="Palatino Linotype" w:cs="Times New Roman"/>
                <w:sz w:val="18"/>
                <w:szCs w:val="18"/>
                <w:lang w:val="en-US"/>
              </w:rPr>
              <w:t>erythroplasias</w:t>
            </w:r>
            <w:proofErr w:type="spellEnd"/>
            <w:r w:rsidRPr="00BE05E5">
              <w:rPr>
                <w:rFonts w:ascii="Palatino Linotype" w:hAnsi="Palatino Linotype" w:cs="Times New Roman"/>
                <w:sz w:val="18"/>
                <w:szCs w:val="18"/>
                <w:lang w:val="en-US"/>
              </w:rPr>
              <w:t xml:space="preserve"> OR </w:t>
            </w:r>
            <w:proofErr w:type="spellStart"/>
            <w:r w:rsidRPr="00BE05E5">
              <w:rPr>
                <w:rFonts w:ascii="Palatino Linotype" w:hAnsi="Palatino Linotype" w:cs="Times New Roman"/>
                <w:sz w:val="18"/>
                <w:szCs w:val="18"/>
                <w:lang w:val="en-US"/>
              </w:rPr>
              <w:t>erythroplakia</w:t>
            </w:r>
            <w:proofErr w:type="spellEnd"/>
            <w:r w:rsidRPr="00BE05E5">
              <w:rPr>
                <w:rFonts w:ascii="Palatino Linotype" w:hAnsi="Palatino Linotype" w:cs="Times New Roman"/>
                <w:sz w:val="18"/>
                <w:szCs w:val="18"/>
                <w:lang w:val="en-US"/>
              </w:rPr>
              <w:t xml:space="preserve"> OR </w:t>
            </w:r>
            <w:proofErr w:type="spellStart"/>
            <w:r w:rsidRPr="00BE05E5">
              <w:rPr>
                <w:rFonts w:ascii="Palatino Linotype" w:hAnsi="Palatino Linotype" w:cs="Times New Roman"/>
                <w:sz w:val="18"/>
                <w:szCs w:val="18"/>
                <w:lang w:val="en-US"/>
              </w:rPr>
              <w:t>erythroleukoplakia</w:t>
            </w:r>
            <w:proofErr w:type="spellEnd"/>
            <w:r w:rsidRPr="00BE05E5">
              <w:rPr>
                <w:rFonts w:ascii="Palatino Linotype" w:hAnsi="Palatino Linotype" w:cs="Times New Roman"/>
                <w:sz w:val="18"/>
                <w:szCs w:val="18"/>
                <w:lang w:val="en-US"/>
              </w:rPr>
              <w:t xml:space="preserve"> OR "Oral Submucous Fibrosis"[Mesh] OR "Oral submucous fibrosis" OR "Submucous Fibrosis" OR "Lichen Planus, Oral"[Mesh] OR "Oral Lichen Planus" OR "Cheilitis"[Mesh] OR cheilitis OR "actinic cheilosis" OR "Actinic cheilitis" OR "Keratosis, Actinic"[Mesh] OR "Actinic Keratoses" OR "Actinic Keratosis" OR "Reverse-cigar smokers" OR "smoker's palate" OR "reverse smokers" OR "Oral Lupus Erythematosus" OR "Dyskeratosis Congenita"[Mesh] OR "Dyskeratosis Congenita" OR "Oral Lichenoid Lesions" OR "Oral Lichenoid Lesion" OR "Oral graft versus host disease" OR "oral graft-versus-host disease") </w:t>
            </w:r>
            <w:r w:rsidRPr="00BE05E5">
              <w:rPr>
                <w:rFonts w:ascii="Palatino Linotype" w:hAnsi="Palatino Linotype" w:cs="Times New Roman"/>
                <w:b/>
                <w:sz w:val="18"/>
                <w:szCs w:val="18"/>
                <w:lang w:val="en-US"/>
              </w:rPr>
              <w:t>AND</w:t>
            </w:r>
            <w:r w:rsidRPr="00BE05E5">
              <w:rPr>
                <w:rFonts w:ascii="Palatino Linotype" w:hAnsi="Palatino Linotype" w:cs="Times New Roman"/>
                <w:bCs/>
                <w:sz w:val="18"/>
                <w:szCs w:val="18"/>
                <w:lang w:val="en-US"/>
              </w:rPr>
              <w:t xml:space="preserve"> </w:t>
            </w:r>
            <w:r w:rsidRPr="00BE05E5">
              <w:rPr>
                <w:rFonts w:ascii="Palatino Linotype" w:eastAsia="Times New Roman" w:hAnsi="Palatino Linotype" w:cs="Times New Roman"/>
                <w:bCs/>
                <w:sz w:val="18"/>
                <w:szCs w:val="18"/>
                <w:u w:color="50167C"/>
                <w:lang w:val="en-US"/>
              </w:rPr>
              <w:t>(</w:t>
            </w:r>
            <w:r w:rsidRPr="00BE05E5">
              <w:rPr>
                <w:rFonts w:ascii="Palatino Linotype" w:eastAsia="Times New Roman" w:hAnsi="Palatino Linotype" w:cs="Times New Roman"/>
                <w:bCs/>
                <w:sz w:val="18"/>
                <w:szCs w:val="18"/>
                <w:lang w:val="en-US"/>
              </w:rPr>
              <w:t>"Mouth"[Mesh Terms] OR "mouth" OR "mouths" OR "oral" OR "orals" OR "lip"[</w:t>
            </w:r>
            <w:proofErr w:type="spellStart"/>
            <w:r w:rsidRPr="00BE05E5">
              <w:rPr>
                <w:rFonts w:ascii="Palatino Linotype" w:eastAsia="Times New Roman" w:hAnsi="Palatino Linotype" w:cs="Times New Roman"/>
                <w:bCs/>
                <w:sz w:val="18"/>
                <w:szCs w:val="18"/>
                <w:lang w:val="en-US"/>
              </w:rPr>
              <w:t>MeSH</w:t>
            </w:r>
            <w:proofErr w:type="spellEnd"/>
            <w:r w:rsidRPr="00BE05E5">
              <w:rPr>
                <w:rFonts w:ascii="Palatino Linotype" w:eastAsia="Times New Roman" w:hAnsi="Palatino Linotype" w:cs="Times New Roman"/>
                <w:bCs/>
                <w:sz w:val="18"/>
                <w:szCs w:val="18"/>
                <w:lang w:val="en-US"/>
              </w:rPr>
              <w:t xml:space="preserve"> Terms] OR "lip" OR "lips" OR "tongue"[</w:t>
            </w:r>
            <w:proofErr w:type="spellStart"/>
            <w:r w:rsidRPr="00BE05E5">
              <w:rPr>
                <w:rFonts w:ascii="Palatino Linotype" w:eastAsia="Times New Roman" w:hAnsi="Palatino Linotype" w:cs="Times New Roman"/>
                <w:bCs/>
                <w:sz w:val="18"/>
                <w:szCs w:val="18"/>
                <w:lang w:val="en-US"/>
              </w:rPr>
              <w:t>MeSH</w:t>
            </w:r>
            <w:proofErr w:type="spellEnd"/>
            <w:r w:rsidRPr="00BE05E5">
              <w:rPr>
                <w:rFonts w:ascii="Palatino Linotype" w:eastAsia="Times New Roman" w:hAnsi="Palatino Linotype" w:cs="Times New Roman"/>
                <w:bCs/>
                <w:sz w:val="18"/>
                <w:szCs w:val="18"/>
                <w:lang w:val="en-US"/>
              </w:rPr>
              <w:t xml:space="preserve"> Terms] OR "tongue" OR "Mouth Mucosa"[</w:t>
            </w:r>
            <w:proofErr w:type="spellStart"/>
            <w:r w:rsidRPr="00BE05E5">
              <w:rPr>
                <w:rFonts w:ascii="Palatino Linotype" w:eastAsia="Times New Roman" w:hAnsi="Palatino Linotype" w:cs="Times New Roman"/>
                <w:bCs/>
                <w:sz w:val="18"/>
                <w:szCs w:val="18"/>
                <w:lang w:val="en-US"/>
              </w:rPr>
              <w:t>MeSH</w:t>
            </w:r>
            <w:proofErr w:type="spellEnd"/>
            <w:r w:rsidRPr="00BE05E5">
              <w:rPr>
                <w:rFonts w:ascii="Palatino Linotype" w:eastAsia="Times New Roman" w:hAnsi="Palatino Linotype" w:cs="Times New Roman"/>
                <w:bCs/>
                <w:sz w:val="18"/>
                <w:szCs w:val="18"/>
                <w:lang w:val="en-US"/>
              </w:rPr>
              <w:t xml:space="preserve"> Terms] OR "Mouth Mucosa" OR "buccal" OR "Palate"[</w:t>
            </w:r>
            <w:proofErr w:type="spellStart"/>
            <w:r w:rsidRPr="00BE05E5">
              <w:rPr>
                <w:rFonts w:ascii="Palatino Linotype" w:eastAsia="Times New Roman" w:hAnsi="Palatino Linotype" w:cs="Times New Roman"/>
                <w:bCs/>
                <w:sz w:val="18"/>
                <w:szCs w:val="18"/>
                <w:lang w:val="en-US"/>
              </w:rPr>
              <w:t>MeSH</w:t>
            </w:r>
            <w:proofErr w:type="spellEnd"/>
            <w:r w:rsidRPr="00BE05E5">
              <w:rPr>
                <w:rFonts w:ascii="Palatino Linotype" w:eastAsia="Times New Roman" w:hAnsi="Palatino Linotype" w:cs="Times New Roman"/>
                <w:bCs/>
                <w:sz w:val="18"/>
                <w:szCs w:val="18"/>
                <w:lang w:val="en-US"/>
              </w:rPr>
              <w:t xml:space="preserve"> Terms] OR "palate" OR "palates" OR "Mouth Floor"[</w:t>
            </w:r>
            <w:proofErr w:type="spellStart"/>
            <w:r w:rsidRPr="00BE05E5">
              <w:rPr>
                <w:rFonts w:ascii="Palatino Linotype" w:eastAsia="Times New Roman" w:hAnsi="Palatino Linotype" w:cs="Times New Roman"/>
                <w:bCs/>
                <w:sz w:val="18"/>
                <w:szCs w:val="18"/>
                <w:lang w:val="en-US"/>
              </w:rPr>
              <w:t>MeSH</w:t>
            </w:r>
            <w:proofErr w:type="spellEnd"/>
            <w:r w:rsidRPr="00BE05E5">
              <w:rPr>
                <w:rFonts w:ascii="Palatino Linotype" w:eastAsia="Times New Roman" w:hAnsi="Palatino Linotype" w:cs="Times New Roman"/>
                <w:bCs/>
                <w:sz w:val="18"/>
                <w:szCs w:val="18"/>
                <w:lang w:val="en-US"/>
              </w:rPr>
              <w:t xml:space="preserve"> Terms] OR "Mouth Floor" OR "cheek mucosa" OR "alveolar" OR "Gingiva"[</w:t>
            </w:r>
            <w:proofErr w:type="spellStart"/>
            <w:r w:rsidRPr="00BE05E5">
              <w:rPr>
                <w:rFonts w:ascii="Palatino Linotype" w:eastAsia="Times New Roman" w:hAnsi="Palatino Linotype" w:cs="Times New Roman"/>
                <w:bCs/>
                <w:sz w:val="18"/>
                <w:szCs w:val="18"/>
                <w:lang w:val="en-US"/>
              </w:rPr>
              <w:t>MeSH</w:t>
            </w:r>
            <w:proofErr w:type="spellEnd"/>
            <w:r w:rsidRPr="00BE05E5">
              <w:rPr>
                <w:rFonts w:ascii="Palatino Linotype" w:eastAsia="Times New Roman" w:hAnsi="Palatino Linotype" w:cs="Times New Roman"/>
                <w:bCs/>
                <w:sz w:val="18"/>
                <w:szCs w:val="18"/>
                <w:lang w:val="en-US"/>
              </w:rPr>
              <w:t xml:space="preserve"> Terms] OR "gingiva" OR "</w:t>
            </w:r>
            <w:proofErr w:type="spellStart"/>
            <w:r w:rsidRPr="00BE05E5">
              <w:rPr>
                <w:rFonts w:ascii="Palatino Linotype" w:eastAsia="Times New Roman" w:hAnsi="Palatino Linotype" w:cs="Times New Roman"/>
                <w:bCs/>
                <w:sz w:val="18"/>
                <w:szCs w:val="18"/>
                <w:lang w:val="en-US"/>
              </w:rPr>
              <w:t>Gingivas</w:t>
            </w:r>
            <w:proofErr w:type="spellEnd"/>
            <w:r w:rsidRPr="00BE05E5">
              <w:rPr>
                <w:rFonts w:ascii="Palatino Linotype" w:eastAsia="Times New Roman" w:hAnsi="Palatino Linotype" w:cs="Times New Roman"/>
                <w:bCs/>
                <w:sz w:val="18"/>
                <w:szCs w:val="18"/>
                <w:lang w:val="en-US"/>
              </w:rPr>
              <w:t>" OR "gum" OR "gums" OR "interdental papilla" OR "interdental papillae" OR "commissure" OR "maxillary tuberosity" OR "uvula" OR "uvular")</w:t>
            </w:r>
          </w:p>
        </w:tc>
        <w:tc>
          <w:tcPr>
            <w:tcW w:w="0" w:type="auto"/>
            <w:tcBorders>
              <w:top w:val="single" w:sz="4" w:space="0" w:color="auto"/>
              <w:bottom w:val="single" w:sz="4" w:space="0" w:color="auto"/>
            </w:tcBorders>
          </w:tcPr>
          <w:p w14:paraId="5FE9F1B9" w14:textId="77777777" w:rsidR="00841F64" w:rsidRPr="00BE05E5" w:rsidRDefault="00841F64" w:rsidP="00BE5756">
            <w:pPr>
              <w:jc w:val="center"/>
              <w:rPr>
                <w:rFonts w:ascii="Palatino Linotype" w:hAnsi="Palatino Linotype" w:cs="Times New Roman"/>
                <w:b/>
                <w:bCs/>
                <w:sz w:val="18"/>
                <w:szCs w:val="18"/>
                <w:lang w:val="en-US"/>
              </w:rPr>
            </w:pPr>
            <w:r w:rsidRPr="00BE05E5">
              <w:rPr>
                <w:rFonts w:ascii="Palatino Linotype" w:hAnsi="Palatino Linotype" w:cs="Times New Roman"/>
                <w:b/>
                <w:sz w:val="18"/>
                <w:szCs w:val="18"/>
                <w:shd w:val="clear" w:color="auto" w:fill="FFFFFF"/>
                <w:lang w:val="en-US"/>
              </w:rPr>
              <w:t>2,570</w:t>
            </w:r>
          </w:p>
        </w:tc>
      </w:tr>
      <w:bookmarkEnd w:id="0"/>
      <w:tr w:rsidR="00841F64" w:rsidRPr="00BE05E5" w14:paraId="46F90472" w14:textId="77777777" w:rsidTr="00BE05E5">
        <w:tc>
          <w:tcPr>
            <w:tcW w:w="0" w:type="auto"/>
            <w:tcBorders>
              <w:top w:val="single" w:sz="4" w:space="0" w:color="auto"/>
              <w:bottom w:val="single" w:sz="4" w:space="0" w:color="auto"/>
            </w:tcBorders>
          </w:tcPr>
          <w:p w14:paraId="565B39F3" w14:textId="77777777" w:rsidR="00841F64" w:rsidRPr="00BE05E5" w:rsidRDefault="00841F64" w:rsidP="00BE5756">
            <w:pPr>
              <w:jc w:val="both"/>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t>SCOPUS</w:t>
            </w:r>
          </w:p>
        </w:tc>
        <w:tc>
          <w:tcPr>
            <w:tcW w:w="0" w:type="auto"/>
            <w:tcBorders>
              <w:top w:val="single" w:sz="4" w:space="0" w:color="auto"/>
              <w:bottom w:val="single" w:sz="4" w:space="0" w:color="auto"/>
            </w:tcBorders>
          </w:tcPr>
          <w:p w14:paraId="04CAF9CB" w14:textId="77777777" w:rsidR="00841F64" w:rsidRPr="00BE05E5" w:rsidRDefault="00841F64" w:rsidP="00BE5756">
            <w:pPr>
              <w:jc w:val="both"/>
              <w:rPr>
                <w:rFonts w:ascii="Palatino Linotype" w:hAnsi="Palatino Linotype" w:cs="Times New Roman"/>
                <w:bCs/>
                <w:sz w:val="18"/>
                <w:szCs w:val="18"/>
                <w:lang w:val="en-US"/>
              </w:rPr>
            </w:pPr>
            <w:r w:rsidRPr="00BE05E5">
              <w:rPr>
                <w:rFonts w:ascii="Palatino Linotype" w:hAnsi="Palatino Linotype" w:cs="Times New Roman"/>
                <w:bCs/>
                <w:sz w:val="18"/>
                <w:szCs w:val="18"/>
                <w:lang w:val="en-US"/>
              </w:rPr>
              <w:t xml:space="preserve">TITLE-ABS-KEY ( "Truth Disclosure"  OR  "Truth-telling"  OR  "Truth telling"  OR  "Telling the Truth"  OR  truth  OR  truthing  OR  truths  OR  "Access to Information"  OR  "Professional-Patient Relations"  OR  "Health Planning Guidelines"  OR  "Health Planning"  OR  guideline  OR  guidelines  OR  "Planning Guideline"  OR  "Planning Guidelines"  OR  "Guidelines for Health Planning"  OR  recommendations  OR  recommendation  OR  "Health Planning Recommendations"  OR  "Planning Recommendations"  OR  communication  OR  communications  OR  misinformation  OR  "Teach-Back Communication"  OR  "Closed-Loop Communication"  OR  "Closed Loop Communication"  OR  "Closed-Loop Communications"  OR  "Teach-Back"  OR  "Closed-Loop"  OR  "Health Communication"  OR  "Health Communications"  OR  "Communication Barriers"  OR  "Communication Barrier"  OR  "Dentist-Patient Relations"  OR  "Dentist-Patient Relation"  OR  "Dentist Patient Relation"  OR  "Dentist-Patient Relationship"  OR  "Dentist Patient Relationship"  OR  "Dentist-Patient Relationships"  OR  "Dentist Patient Relationships"  OR  "Physician-Patient Relations"  OR  "Physician-Patient Relation"  OR  "Physician Patient Relation"  OR  "Physician Patient Relationship"  OR  "Physician Patient Relationships"  OR  "Physician Patient Relations"  OR  "Physician Patient Relations"  OR  "Doctor Patient Relations"  OR  "Doctor Patient Relation"  OR  "Doctor-Patient Relations"  OR  "Doctor-Patient Relation"  OR  "Delivering bad news"  OR  "bad news"  OR  "receiving bad news"  OR  "deliver bad news"  OR  "communicate bad news"  OR  "Communication of bad news"  OR  "Breaking bad news"  OR  "break bad news"  OR  protocol  OR  protocols  OR  "Clinical Protocols"  OR  "Clinical Protocol"  OR  questionnaires  OR  questionnaire  OR  "Quality of Life" )  AND  TITLE-ABS-KEY ( "Precancerous conditions"  OR  precancerous  OR  "pre-cancer"  OR  precancer  OR  preneoplastic  OR  "pre-neoplastic"  OR  "precursor lesion"  OR  "precursor lesions"  OR  "potentially malignant disorder"  OR  "potentially malignant disorders"  OR  "potentially malignant lesion"  OR  "potentially malignant lesions"  OR  premalignant  OR  "pre malignant"  OR  "pre malignancy"  OR  "pre malignancy"  OR  "pre malignancies"  OR  "pre malignancies"  OR  "Carcinoma in situ"  OR  "in situ carcinoma"  OR  "Carcinomas in situ"  OR  "in situ carcinomas"  OR  "preinvasive carcinoma"  OR  "preinvasive carcinomas"  OR  "pre-invasive carcinoma"  OR  "pre-invasive carcinomas"  OR  "intraepithelial carcinoma"  OR  "intraepithelial carcinomas"  OR  "intraepithelial neoplasm"  OR  "intraepithelial neoplasms"  OR  "intraepithelial neoplasia"  OR  "intraepithelial </w:t>
            </w:r>
            <w:proofErr w:type="spellStart"/>
            <w:r w:rsidRPr="00BE05E5">
              <w:rPr>
                <w:rFonts w:ascii="Palatino Linotype" w:hAnsi="Palatino Linotype" w:cs="Times New Roman"/>
                <w:bCs/>
                <w:sz w:val="18"/>
                <w:szCs w:val="18"/>
                <w:lang w:val="en-US"/>
              </w:rPr>
              <w:t>neoplasias</w:t>
            </w:r>
            <w:proofErr w:type="spellEnd"/>
            <w:r w:rsidRPr="00BE05E5">
              <w:rPr>
                <w:rFonts w:ascii="Palatino Linotype" w:hAnsi="Palatino Linotype" w:cs="Times New Roman"/>
                <w:bCs/>
                <w:sz w:val="18"/>
                <w:szCs w:val="18"/>
                <w:lang w:val="en-US"/>
              </w:rPr>
              <w:t xml:space="preserve">"  OR  "intraepithelial cancer"  OR  leukoplakia  OR  </w:t>
            </w:r>
            <w:proofErr w:type="spellStart"/>
            <w:r w:rsidRPr="00BE05E5">
              <w:rPr>
                <w:rFonts w:ascii="Palatino Linotype" w:hAnsi="Palatino Linotype" w:cs="Times New Roman"/>
                <w:bCs/>
                <w:sz w:val="18"/>
                <w:szCs w:val="18"/>
                <w:lang w:val="en-US"/>
              </w:rPr>
              <w:t>leukoplakias</w:t>
            </w:r>
            <w:proofErr w:type="spellEnd"/>
            <w:r w:rsidRPr="00BE05E5">
              <w:rPr>
                <w:rFonts w:ascii="Palatino Linotype" w:hAnsi="Palatino Linotype" w:cs="Times New Roman"/>
                <w:bCs/>
                <w:sz w:val="18"/>
                <w:szCs w:val="18"/>
                <w:lang w:val="en-US"/>
              </w:rPr>
              <w:t xml:space="preserve">  OR  leukoplakic  OR  keratosis  OR  keratoses  OR  leukokeratosis  OR  leukokeratosis  OR  "proliferative verrucous leukoplakia"  OR  </w:t>
            </w:r>
            <w:proofErr w:type="spellStart"/>
            <w:r w:rsidRPr="00BE05E5">
              <w:rPr>
                <w:rFonts w:ascii="Palatino Linotype" w:hAnsi="Palatino Linotype" w:cs="Times New Roman"/>
                <w:bCs/>
                <w:sz w:val="18"/>
                <w:szCs w:val="18"/>
                <w:lang w:val="en-US"/>
              </w:rPr>
              <w:t>erythroplasia</w:t>
            </w:r>
            <w:proofErr w:type="spellEnd"/>
            <w:r w:rsidRPr="00BE05E5">
              <w:rPr>
                <w:rFonts w:ascii="Palatino Linotype" w:hAnsi="Palatino Linotype" w:cs="Times New Roman"/>
                <w:bCs/>
                <w:sz w:val="18"/>
                <w:szCs w:val="18"/>
                <w:lang w:val="en-US"/>
              </w:rPr>
              <w:t xml:space="preserve">  OR  </w:t>
            </w:r>
            <w:proofErr w:type="spellStart"/>
            <w:r w:rsidRPr="00BE05E5">
              <w:rPr>
                <w:rFonts w:ascii="Palatino Linotype" w:hAnsi="Palatino Linotype" w:cs="Times New Roman"/>
                <w:bCs/>
                <w:sz w:val="18"/>
                <w:szCs w:val="18"/>
                <w:lang w:val="en-US"/>
              </w:rPr>
              <w:t>erythroplasias</w:t>
            </w:r>
            <w:proofErr w:type="spellEnd"/>
            <w:r w:rsidRPr="00BE05E5">
              <w:rPr>
                <w:rFonts w:ascii="Palatino Linotype" w:hAnsi="Palatino Linotype" w:cs="Times New Roman"/>
                <w:bCs/>
                <w:sz w:val="18"/>
                <w:szCs w:val="18"/>
                <w:lang w:val="en-US"/>
              </w:rPr>
              <w:t xml:space="preserve">  OR  </w:t>
            </w:r>
            <w:proofErr w:type="spellStart"/>
            <w:r w:rsidRPr="00BE05E5">
              <w:rPr>
                <w:rFonts w:ascii="Palatino Linotype" w:hAnsi="Palatino Linotype" w:cs="Times New Roman"/>
                <w:bCs/>
                <w:sz w:val="18"/>
                <w:szCs w:val="18"/>
                <w:lang w:val="en-US"/>
              </w:rPr>
              <w:t>erythroplakia</w:t>
            </w:r>
            <w:proofErr w:type="spellEnd"/>
            <w:r w:rsidRPr="00BE05E5">
              <w:rPr>
                <w:rFonts w:ascii="Palatino Linotype" w:hAnsi="Palatino Linotype" w:cs="Times New Roman"/>
                <w:bCs/>
                <w:sz w:val="18"/>
                <w:szCs w:val="18"/>
                <w:lang w:val="en-US"/>
              </w:rPr>
              <w:t xml:space="preserve">  OR  </w:t>
            </w:r>
            <w:proofErr w:type="spellStart"/>
            <w:r w:rsidRPr="00BE05E5">
              <w:rPr>
                <w:rFonts w:ascii="Palatino Linotype" w:hAnsi="Palatino Linotype" w:cs="Times New Roman"/>
                <w:bCs/>
                <w:sz w:val="18"/>
                <w:szCs w:val="18"/>
                <w:lang w:val="en-US"/>
              </w:rPr>
              <w:t>erythroleukoplakia</w:t>
            </w:r>
            <w:proofErr w:type="spellEnd"/>
            <w:r w:rsidRPr="00BE05E5">
              <w:rPr>
                <w:rFonts w:ascii="Palatino Linotype" w:hAnsi="Palatino Linotype" w:cs="Times New Roman"/>
                <w:bCs/>
                <w:sz w:val="18"/>
                <w:szCs w:val="18"/>
                <w:lang w:val="en-US"/>
              </w:rPr>
              <w:t xml:space="preserve">  OR  "Oral submucous fibrosis"  OR  "Submucous Fibrosis"  OR  "Oral Lichen Planus"  OR  cheilitis  OR  "actinic cheilosis"  OR  "Actinic cheilitis"  OR  "Actinic Keratoses"  OR  "Actinic Keratosis"  OR  "Reverse-cigar smokers"  OR  "smoker's palate"  OR  "reverse smokers"  OR  "Oral Lupus Erythematosus"  OR  "Dyskeratosis Congenita"  OR  "Oral Lichenoid Lesions"  OR  "Oral Lichenoid Lesion"  OR  "Oral graft versus host disease"  OR  "oral graft-versus-host disease" )  AND  TITLE-ABS-KEY ( mouth  OR  mouths  OR  oral  OR  orals  OR  lip  OR  lips  OR  tongue  OR  "Mouth Mucosa"  OR  buccal  OR  palate  OR  palates  OR  "Mouth Floor"  OR  "cheek mucosa"  OR  alveolar  OR  gingiva  OR  </w:t>
            </w:r>
            <w:proofErr w:type="spellStart"/>
            <w:r w:rsidRPr="00BE05E5">
              <w:rPr>
                <w:rFonts w:ascii="Palatino Linotype" w:hAnsi="Palatino Linotype" w:cs="Times New Roman"/>
                <w:bCs/>
                <w:sz w:val="18"/>
                <w:szCs w:val="18"/>
                <w:lang w:val="en-US"/>
              </w:rPr>
              <w:t>gingivas</w:t>
            </w:r>
            <w:proofErr w:type="spellEnd"/>
            <w:r w:rsidRPr="00BE05E5">
              <w:rPr>
                <w:rFonts w:ascii="Palatino Linotype" w:hAnsi="Palatino Linotype" w:cs="Times New Roman"/>
                <w:bCs/>
                <w:sz w:val="18"/>
                <w:szCs w:val="18"/>
                <w:lang w:val="en-US"/>
              </w:rPr>
              <w:t xml:space="preserve">  OR  gum  OR  gums  OR  "interdental papilla"  OR  "interdental papillae"  OR  commissure  OR  "maxillary tuberosity"  OR  uvula  OR  uvular )</w:t>
            </w:r>
          </w:p>
        </w:tc>
        <w:tc>
          <w:tcPr>
            <w:tcW w:w="0" w:type="auto"/>
            <w:tcBorders>
              <w:top w:val="single" w:sz="4" w:space="0" w:color="auto"/>
              <w:bottom w:val="single" w:sz="4" w:space="0" w:color="auto"/>
            </w:tcBorders>
          </w:tcPr>
          <w:p w14:paraId="79DDA467" w14:textId="77777777" w:rsidR="00841F64" w:rsidRPr="00BE05E5" w:rsidRDefault="00841F64" w:rsidP="00BE5756">
            <w:pPr>
              <w:shd w:val="clear" w:color="auto" w:fill="FFFFFF"/>
              <w:outlineLvl w:val="0"/>
              <w:rPr>
                <w:rFonts w:ascii="Palatino Linotype" w:eastAsia="Times New Roman" w:hAnsi="Palatino Linotype" w:cs="Times New Roman"/>
                <w:b/>
                <w:kern w:val="36"/>
                <w:sz w:val="18"/>
                <w:szCs w:val="18"/>
                <w:lang w:val="en-US" w:eastAsia="pt-BR"/>
              </w:rPr>
            </w:pPr>
            <w:r w:rsidRPr="00BE05E5">
              <w:rPr>
                <w:rFonts w:ascii="Palatino Linotype" w:eastAsia="Times New Roman" w:hAnsi="Palatino Linotype" w:cs="Times New Roman"/>
                <w:b/>
                <w:kern w:val="36"/>
                <w:sz w:val="18"/>
                <w:szCs w:val="18"/>
                <w:lang w:val="en-US" w:eastAsia="pt-BR"/>
              </w:rPr>
              <w:t>2,200</w:t>
            </w:r>
          </w:p>
        </w:tc>
      </w:tr>
      <w:tr w:rsidR="00841F64" w:rsidRPr="00BE05E5" w14:paraId="3CF71E0C" w14:textId="77777777" w:rsidTr="00BE05E5">
        <w:tc>
          <w:tcPr>
            <w:tcW w:w="0" w:type="auto"/>
            <w:tcBorders>
              <w:top w:val="single" w:sz="4" w:space="0" w:color="auto"/>
              <w:bottom w:val="single" w:sz="4" w:space="0" w:color="auto"/>
            </w:tcBorders>
          </w:tcPr>
          <w:p w14:paraId="5A2C5B29" w14:textId="77777777" w:rsidR="00841F64" w:rsidRPr="00BE05E5" w:rsidRDefault="00841F64" w:rsidP="00BE5756">
            <w:pPr>
              <w:jc w:val="both"/>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t>EMBASE</w:t>
            </w:r>
          </w:p>
        </w:tc>
        <w:tc>
          <w:tcPr>
            <w:tcW w:w="0" w:type="auto"/>
            <w:tcBorders>
              <w:top w:val="single" w:sz="4" w:space="0" w:color="auto"/>
              <w:bottom w:val="single" w:sz="4" w:space="0" w:color="auto"/>
            </w:tcBorders>
          </w:tcPr>
          <w:p w14:paraId="72B21440" w14:textId="77777777" w:rsidR="00841F64" w:rsidRPr="00BE05E5" w:rsidRDefault="00841F64" w:rsidP="00BE5756">
            <w:pPr>
              <w:jc w:val="both"/>
              <w:rPr>
                <w:rFonts w:ascii="Palatino Linotype" w:hAnsi="Palatino Linotype" w:cs="Times New Roman"/>
                <w:bCs/>
                <w:sz w:val="18"/>
                <w:szCs w:val="18"/>
                <w:lang w:val="en-US"/>
              </w:rPr>
            </w:pPr>
            <w:r w:rsidRPr="00BE05E5">
              <w:rPr>
                <w:rFonts w:ascii="Palatino Linotype" w:hAnsi="Palatino Linotype" w:cs="Times New Roman"/>
                <w:bCs/>
                <w:sz w:val="18"/>
                <w:szCs w:val="18"/>
                <w:lang w:val="en-US"/>
              </w:rPr>
              <w:t xml:space="preserve">('truth disclosure'/de OR 'truth-telling' OR 'truth telling' OR 'telling the truth' OR 'truth'/de OR truthing OR truths OR 'access to information'/de OR 'professional-patient relations'/de OR 'health planning guidelines'/de OR 'health planning'/de OR 'guideline'/de OR 'guidelines'/de OR 'planning guideline' OR 'planning guidelines' OR 'guidelines for health planning' OR 'recommendations'/de OR recommendation OR 'health planning recommendations' OR 'planning recommendations' OR 'communication'/de OR communications OR 'misinformation'/de OR 'teach-back communication'/de OR 'closed-loop communication' OR 'closed loop communication' OR 'closed-loop communications' OR 'teach-back' OR 'closed-loop' OR 'health communication'/de OR 'health communications' OR 'communication barriers'/de OR 'communication barrier'/de OR 'dentist-patient relations'/de OR 'dentist-patient relation'/de OR 'dentist patient relation'/de OR 'dentist-patient relationship'/de OR 'dentist patient relationship'/de OR 'dentist-patient relationships' OR 'dentist patient relationships' OR 'physician-patient relations'/de OR 'physician-patient relation'/de OR 'physician patient relation'/de OR 'physician patient relationship'/de OR 'physician patient relationships' OR 'physician patient relations'/de OR 'doctor patient relations' OR 'doctor patient relation'/de OR 'doctor-patient relations' OR 'doctor-patient relation'/de OR 'delivering bad news' OR 'bad news' OR 'receiving bad news' OR 'deliver bad news' OR 'communicate bad news' OR 'communication of bad news' OR 'breaking bad news' OR 'break bad news' OR 'protocol'/de OR protocols OR 'clinical protocols'/de OR 'clinical protocol'/de OR 'questionnaires'/de OR 'questionnaire'/de OR 'quality of life'/de) AND ('precancerous conditions'/de OR precancerous OR 'pre-cancer'/de OR 'precancer'/de OR preneoplastic OR 'pre-neoplastic' OR 'precursor lesion' OR 'precursor lesions' OR 'potentially malignant disorder'/de OR 'potentially malignant disorders' OR 'potentially malignant lesion' OR 'potentially malignant lesions' OR premalignant OR 'pre malignant' OR 'pre malignancy' OR 'pre malignancies' OR 'carcinoma in situ'/de OR 'in situ carcinoma'/de OR 'carcinomas in situ' OR 'in situ carcinomas' OR 'preinvasive carcinoma'/de OR 'preinvasive carcinomas' OR 'pre-invasive carcinoma' OR 'pre-invasive carcinomas' OR 'intraepithelial carcinoma'/de OR 'intraepithelial carcinomas' OR 'intraepithelial neoplasm' OR 'intraepithelial neoplasms' OR 'intraepithelial neoplasia'/de OR 'intraepithelial </w:t>
            </w:r>
            <w:proofErr w:type="spellStart"/>
            <w:r w:rsidRPr="00BE05E5">
              <w:rPr>
                <w:rFonts w:ascii="Palatino Linotype" w:hAnsi="Palatino Linotype" w:cs="Times New Roman"/>
                <w:bCs/>
                <w:sz w:val="18"/>
                <w:szCs w:val="18"/>
                <w:lang w:val="en-US"/>
              </w:rPr>
              <w:t>neoplasias</w:t>
            </w:r>
            <w:proofErr w:type="spellEnd"/>
            <w:r w:rsidRPr="00BE05E5">
              <w:rPr>
                <w:rFonts w:ascii="Palatino Linotype" w:hAnsi="Palatino Linotype" w:cs="Times New Roman"/>
                <w:bCs/>
                <w:sz w:val="18"/>
                <w:szCs w:val="18"/>
                <w:lang w:val="en-US"/>
              </w:rPr>
              <w:t xml:space="preserve">' OR 'intraepithelial cancer' OR 'leukoplakia'/de OR </w:t>
            </w:r>
            <w:proofErr w:type="spellStart"/>
            <w:r w:rsidRPr="00BE05E5">
              <w:rPr>
                <w:rFonts w:ascii="Palatino Linotype" w:hAnsi="Palatino Linotype" w:cs="Times New Roman"/>
                <w:bCs/>
                <w:sz w:val="18"/>
                <w:szCs w:val="18"/>
                <w:lang w:val="en-US"/>
              </w:rPr>
              <w:t>leukoplakias</w:t>
            </w:r>
            <w:proofErr w:type="spellEnd"/>
            <w:r w:rsidRPr="00BE05E5">
              <w:rPr>
                <w:rFonts w:ascii="Palatino Linotype" w:hAnsi="Palatino Linotype" w:cs="Times New Roman"/>
                <w:bCs/>
                <w:sz w:val="18"/>
                <w:szCs w:val="18"/>
                <w:lang w:val="en-US"/>
              </w:rPr>
              <w:t xml:space="preserve"> OR leukoplakic OR 'keratosis'/de OR keratoses OR 'leukokeratosis'/de OR 'proliferative verrucous leukoplakia'/de OR '</w:t>
            </w:r>
            <w:proofErr w:type="spellStart"/>
            <w:r w:rsidRPr="00BE05E5">
              <w:rPr>
                <w:rFonts w:ascii="Palatino Linotype" w:hAnsi="Palatino Linotype" w:cs="Times New Roman"/>
                <w:bCs/>
                <w:sz w:val="18"/>
                <w:szCs w:val="18"/>
                <w:lang w:val="en-US"/>
              </w:rPr>
              <w:t>erythroplasia</w:t>
            </w:r>
            <w:proofErr w:type="spellEnd"/>
            <w:r w:rsidRPr="00BE05E5">
              <w:rPr>
                <w:rFonts w:ascii="Palatino Linotype" w:hAnsi="Palatino Linotype" w:cs="Times New Roman"/>
                <w:bCs/>
                <w:sz w:val="18"/>
                <w:szCs w:val="18"/>
                <w:lang w:val="en-US"/>
              </w:rPr>
              <w:t xml:space="preserve">'/de OR </w:t>
            </w:r>
            <w:proofErr w:type="spellStart"/>
            <w:r w:rsidRPr="00BE05E5">
              <w:rPr>
                <w:rFonts w:ascii="Palatino Linotype" w:hAnsi="Palatino Linotype" w:cs="Times New Roman"/>
                <w:bCs/>
                <w:sz w:val="18"/>
                <w:szCs w:val="18"/>
                <w:lang w:val="en-US"/>
              </w:rPr>
              <w:t>erythroplasias</w:t>
            </w:r>
            <w:proofErr w:type="spellEnd"/>
            <w:r w:rsidRPr="00BE05E5">
              <w:rPr>
                <w:rFonts w:ascii="Palatino Linotype" w:hAnsi="Palatino Linotype" w:cs="Times New Roman"/>
                <w:bCs/>
                <w:sz w:val="18"/>
                <w:szCs w:val="18"/>
                <w:lang w:val="en-US"/>
              </w:rPr>
              <w:t xml:space="preserve"> OR '</w:t>
            </w:r>
            <w:proofErr w:type="spellStart"/>
            <w:r w:rsidRPr="00BE05E5">
              <w:rPr>
                <w:rFonts w:ascii="Palatino Linotype" w:hAnsi="Palatino Linotype" w:cs="Times New Roman"/>
                <w:bCs/>
                <w:sz w:val="18"/>
                <w:szCs w:val="18"/>
                <w:lang w:val="en-US"/>
              </w:rPr>
              <w:t>erythroplakia</w:t>
            </w:r>
            <w:proofErr w:type="spellEnd"/>
            <w:r w:rsidRPr="00BE05E5">
              <w:rPr>
                <w:rFonts w:ascii="Palatino Linotype" w:hAnsi="Palatino Linotype" w:cs="Times New Roman"/>
                <w:bCs/>
                <w:sz w:val="18"/>
                <w:szCs w:val="18"/>
                <w:lang w:val="en-US"/>
              </w:rPr>
              <w:t>'/de OR '</w:t>
            </w:r>
            <w:proofErr w:type="spellStart"/>
            <w:r w:rsidRPr="00BE05E5">
              <w:rPr>
                <w:rFonts w:ascii="Palatino Linotype" w:hAnsi="Palatino Linotype" w:cs="Times New Roman"/>
                <w:bCs/>
                <w:sz w:val="18"/>
                <w:szCs w:val="18"/>
                <w:lang w:val="en-US"/>
              </w:rPr>
              <w:t>erythroleukoplakia</w:t>
            </w:r>
            <w:proofErr w:type="spellEnd"/>
            <w:r w:rsidRPr="00BE05E5">
              <w:rPr>
                <w:rFonts w:ascii="Palatino Linotype" w:hAnsi="Palatino Linotype" w:cs="Times New Roman"/>
                <w:bCs/>
                <w:sz w:val="18"/>
                <w:szCs w:val="18"/>
                <w:lang w:val="en-US"/>
              </w:rPr>
              <w:t xml:space="preserve">'/de OR 'oral submucous fibrosis'/de OR 'submucous fibrosis' OR 'oral lichen planus'/de OR 'cheilitis'/de OR 'actinic cheilosis' OR 'actinic cheilitis'/de OR 'actinic keratoses' OR 'actinic keratosis'/de OR 'reverse-cigar smokers' OR 'smokers palate' OR 'reverse smokers' OR 'oral lupus erythematosus' OR 'dyskeratosis congenita'/de OR 'oral lichenoid lesions' OR 'oral lichenoid lesion'/de OR 'oral graft versus host disease' OR 'oral graft-versus-host disease') AND ('mouth'/de OR mouths OR oral OR orals OR 'lip'/de OR 'lips'/de OR 'tongue'/de OR 'mouth mucosa'/de OR buccal OR 'palate'/de OR palates OR 'mouth floor'/de OR 'cheek mucosa'/de OR alveolar OR 'gingiva'/de OR </w:t>
            </w:r>
            <w:proofErr w:type="spellStart"/>
            <w:r w:rsidRPr="00BE05E5">
              <w:rPr>
                <w:rFonts w:ascii="Palatino Linotype" w:hAnsi="Palatino Linotype" w:cs="Times New Roman"/>
                <w:bCs/>
                <w:sz w:val="18"/>
                <w:szCs w:val="18"/>
                <w:lang w:val="en-US"/>
              </w:rPr>
              <w:t>gingivas</w:t>
            </w:r>
            <w:proofErr w:type="spellEnd"/>
            <w:r w:rsidRPr="00BE05E5">
              <w:rPr>
                <w:rFonts w:ascii="Palatino Linotype" w:hAnsi="Palatino Linotype" w:cs="Times New Roman"/>
                <w:bCs/>
                <w:sz w:val="18"/>
                <w:szCs w:val="18"/>
                <w:lang w:val="en-US"/>
              </w:rPr>
              <w:t xml:space="preserve"> OR 'gum'/de OR gums OR 'interdental papilla'/de OR 'interdental papillae'/de OR commissure OR 'maxillary tuberosity'/de OR 'uvula'/de OR uvular)</w:t>
            </w:r>
          </w:p>
        </w:tc>
        <w:tc>
          <w:tcPr>
            <w:tcW w:w="0" w:type="auto"/>
            <w:tcBorders>
              <w:top w:val="single" w:sz="4" w:space="0" w:color="auto"/>
              <w:bottom w:val="single" w:sz="4" w:space="0" w:color="auto"/>
            </w:tcBorders>
          </w:tcPr>
          <w:p w14:paraId="34BFCBB8" w14:textId="77777777" w:rsidR="00841F64" w:rsidRPr="00BE05E5" w:rsidRDefault="00841F64" w:rsidP="00BE5756">
            <w:pPr>
              <w:jc w:val="center"/>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t>3034</w:t>
            </w:r>
          </w:p>
        </w:tc>
      </w:tr>
      <w:tr w:rsidR="00841F64" w:rsidRPr="00BE05E5" w14:paraId="57BC2448" w14:textId="77777777" w:rsidTr="00BE05E5">
        <w:tc>
          <w:tcPr>
            <w:tcW w:w="0" w:type="auto"/>
            <w:tcBorders>
              <w:top w:val="single" w:sz="4" w:space="0" w:color="auto"/>
              <w:bottom w:val="single" w:sz="4" w:space="0" w:color="auto"/>
            </w:tcBorders>
          </w:tcPr>
          <w:p w14:paraId="6F4881C8" w14:textId="77777777" w:rsidR="00841F64" w:rsidRPr="00BE05E5" w:rsidRDefault="00841F64" w:rsidP="00BE5756">
            <w:pPr>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t>Web of Science</w:t>
            </w:r>
          </w:p>
        </w:tc>
        <w:tc>
          <w:tcPr>
            <w:tcW w:w="0" w:type="auto"/>
            <w:tcBorders>
              <w:top w:val="single" w:sz="4" w:space="0" w:color="auto"/>
              <w:bottom w:val="single" w:sz="4" w:space="0" w:color="auto"/>
            </w:tcBorders>
          </w:tcPr>
          <w:p w14:paraId="4BA7C42D" w14:textId="77777777" w:rsidR="00841F64" w:rsidRPr="00BE05E5" w:rsidRDefault="00841F64" w:rsidP="00BE5756">
            <w:pPr>
              <w:jc w:val="both"/>
              <w:rPr>
                <w:rFonts w:ascii="Palatino Linotype" w:hAnsi="Palatino Linotype" w:cs="Times New Roman"/>
                <w:bCs/>
                <w:sz w:val="18"/>
                <w:szCs w:val="18"/>
                <w:lang w:val="en-US"/>
              </w:rPr>
            </w:pPr>
            <w:r w:rsidRPr="00BE05E5">
              <w:rPr>
                <w:rFonts w:ascii="Palatino Linotype" w:hAnsi="Palatino Linotype" w:cs="Times New Roman"/>
                <w:bCs/>
                <w:sz w:val="18"/>
                <w:szCs w:val="18"/>
                <w:lang w:val="en-US"/>
              </w:rPr>
              <w:t xml:space="preserve">(( "Truth Disclosure"  OR  "Truth-telling"  OR  "Truth telling"  OR  "Telling the Truth"  OR  truth  OR  truthing  OR  truths  OR  "Access to Information"  OR  "Professional-Patient Relations"  OR  "Health Planning Guidelines"  OR  "Health Planning"  OR  guideline  OR  guidelines  OR  "Planning Guideline"  OR  "Planning Guidelines"  OR  "Guidelines for Health Planning"  OR  recommendations  OR  recommendation  OR  "Health Planning Recommendations"  OR  "Planning Recommendations"  OR  communication  OR  communications  OR  misinformation  OR  "Teach-Back Communication"  OR  "Closed-Loop Communication"  OR  "Closed Loop Communication"  OR  "Closed-Loop Communications"  OR  "Teach-Back"  OR  "Closed-Loop"  OR  </w:t>
            </w:r>
            <w:r w:rsidRPr="00BE05E5">
              <w:rPr>
                <w:rFonts w:ascii="Palatino Linotype" w:hAnsi="Palatino Linotype" w:cs="Times New Roman"/>
                <w:bCs/>
                <w:sz w:val="18"/>
                <w:szCs w:val="18"/>
                <w:lang w:val="en-US"/>
              </w:rPr>
              <w:lastRenderedPageBreak/>
              <w:t xml:space="preserve">"Health Communication"  OR  "Health Communications"  OR  "Communication Barriers"  OR  "Communication Barrier"  OR  "Dentist-Patient Relations"  OR  "Dentist-Patient Relation"  OR  "Dentist Patient Relation"  OR  "Dentist-Patient Relationship"  OR  "Dentist Patient Relationship"  OR  "Dentist-Patient Relationships"  OR  "Dentist Patient Relationships"  OR  "Physician-Patient Relations"  OR  "Physician-Patient Relation"  OR  "Physician Patient Relation"  OR  "Physician Patient Relationship"  OR  "Physician Patient Relationships"  OR  "Physician Patient Relations"  OR  "Physician Patient Relations"  OR  "Doctor Patient Relations"  OR  "Doctor Patient Relation"  OR  "Doctor-Patient Relations"  OR  "Doctor-Patient Relation"  OR  "Delivering bad news"  OR  "bad news"  OR  "receiving bad news"  OR  "deliver bad news"  OR  "communicate bad news"  OR  "Communication of bad news"  OR  "Breaking bad news"  OR  "break bad news"  OR  protocol  OR  protocols  OR  "Clinical Protocols"  OR  "Clinical Protocol"  OR  questionnaires  OR  questionnaire  OR  "Quality of Life")) AND TEMA: (("Precancerous conditions"  OR  precancerous  OR  "pre-cancer"  OR  precancer  OR  preneoplastic  OR  "pre-neoplastic"  OR  "precursor lesion"  OR  "precursor lesions"  OR  "potentially malignant disorder"  OR  "potentially malignant disorders"  OR  "potentially malignant lesion"  OR  "potentially malignant lesions"  OR  premalignant  OR  "pre malignant"  OR  "pre malignancy"  OR  "pre malignancy"  OR  "pre malignancies"  OR  "pre malignancies"  OR  "Carcinoma in situ"  OR  "in situ carcinoma"  OR  "Carcinomas in situ"  OR  "in situ carcinomas"  OR  "preinvasive carcinoma"  OR  "preinvasive carcinomas"  OR  "pre-invasive carcinoma"  OR  "pre-invasive carcinomas"  OR  "intraepithelial carcinoma"  OR  "intraepithelial carcinomas"  OR  "intraepithelial neoplasm"  OR  "intraepithelial neoplasms"  OR  "intraepithelial neoplasia"  OR  "intraepithelial </w:t>
            </w:r>
            <w:proofErr w:type="spellStart"/>
            <w:r w:rsidRPr="00BE05E5">
              <w:rPr>
                <w:rFonts w:ascii="Palatino Linotype" w:hAnsi="Palatino Linotype" w:cs="Times New Roman"/>
                <w:bCs/>
                <w:sz w:val="18"/>
                <w:szCs w:val="18"/>
                <w:lang w:val="en-US"/>
              </w:rPr>
              <w:t>neoplasias</w:t>
            </w:r>
            <w:proofErr w:type="spellEnd"/>
            <w:r w:rsidRPr="00BE05E5">
              <w:rPr>
                <w:rFonts w:ascii="Palatino Linotype" w:hAnsi="Palatino Linotype" w:cs="Times New Roman"/>
                <w:bCs/>
                <w:sz w:val="18"/>
                <w:szCs w:val="18"/>
                <w:lang w:val="en-US"/>
              </w:rPr>
              <w:t xml:space="preserve">"  OR  "intraepithelial cancer"  OR  leukoplakia  OR  </w:t>
            </w:r>
            <w:proofErr w:type="spellStart"/>
            <w:r w:rsidRPr="00BE05E5">
              <w:rPr>
                <w:rFonts w:ascii="Palatino Linotype" w:hAnsi="Palatino Linotype" w:cs="Times New Roman"/>
                <w:bCs/>
                <w:sz w:val="18"/>
                <w:szCs w:val="18"/>
                <w:lang w:val="en-US"/>
              </w:rPr>
              <w:t>leukoplakias</w:t>
            </w:r>
            <w:proofErr w:type="spellEnd"/>
            <w:r w:rsidRPr="00BE05E5">
              <w:rPr>
                <w:rFonts w:ascii="Palatino Linotype" w:hAnsi="Palatino Linotype" w:cs="Times New Roman"/>
                <w:bCs/>
                <w:sz w:val="18"/>
                <w:szCs w:val="18"/>
                <w:lang w:val="en-US"/>
              </w:rPr>
              <w:t xml:space="preserve">  OR  leukoplakic  OR  keratosis  OR  keratoses  OR  leukokeratosis  OR  leukokeratosis  OR  "proliferative verrucous leukoplakia"  OR  </w:t>
            </w:r>
            <w:proofErr w:type="spellStart"/>
            <w:r w:rsidRPr="00BE05E5">
              <w:rPr>
                <w:rFonts w:ascii="Palatino Linotype" w:hAnsi="Palatino Linotype" w:cs="Times New Roman"/>
                <w:bCs/>
                <w:sz w:val="18"/>
                <w:szCs w:val="18"/>
                <w:lang w:val="en-US"/>
              </w:rPr>
              <w:t>erythroplasia</w:t>
            </w:r>
            <w:proofErr w:type="spellEnd"/>
            <w:r w:rsidRPr="00BE05E5">
              <w:rPr>
                <w:rFonts w:ascii="Palatino Linotype" w:hAnsi="Palatino Linotype" w:cs="Times New Roman"/>
                <w:bCs/>
                <w:sz w:val="18"/>
                <w:szCs w:val="18"/>
                <w:lang w:val="en-US"/>
              </w:rPr>
              <w:t xml:space="preserve">  OR  </w:t>
            </w:r>
            <w:proofErr w:type="spellStart"/>
            <w:r w:rsidRPr="00BE05E5">
              <w:rPr>
                <w:rFonts w:ascii="Palatino Linotype" w:hAnsi="Palatino Linotype" w:cs="Times New Roman"/>
                <w:bCs/>
                <w:sz w:val="18"/>
                <w:szCs w:val="18"/>
                <w:lang w:val="en-US"/>
              </w:rPr>
              <w:t>erythroplasias</w:t>
            </w:r>
            <w:proofErr w:type="spellEnd"/>
            <w:r w:rsidRPr="00BE05E5">
              <w:rPr>
                <w:rFonts w:ascii="Palatino Linotype" w:hAnsi="Palatino Linotype" w:cs="Times New Roman"/>
                <w:bCs/>
                <w:sz w:val="18"/>
                <w:szCs w:val="18"/>
                <w:lang w:val="en-US"/>
              </w:rPr>
              <w:t xml:space="preserve">  OR  </w:t>
            </w:r>
            <w:proofErr w:type="spellStart"/>
            <w:r w:rsidRPr="00BE05E5">
              <w:rPr>
                <w:rFonts w:ascii="Palatino Linotype" w:hAnsi="Palatino Linotype" w:cs="Times New Roman"/>
                <w:bCs/>
                <w:sz w:val="18"/>
                <w:szCs w:val="18"/>
                <w:lang w:val="en-US"/>
              </w:rPr>
              <w:t>erythroplakia</w:t>
            </w:r>
            <w:proofErr w:type="spellEnd"/>
            <w:r w:rsidRPr="00BE05E5">
              <w:rPr>
                <w:rFonts w:ascii="Palatino Linotype" w:hAnsi="Palatino Linotype" w:cs="Times New Roman"/>
                <w:bCs/>
                <w:sz w:val="18"/>
                <w:szCs w:val="18"/>
                <w:lang w:val="en-US"/>
              </w:rPr>
              <w:t xml:space="preserve">  OR  </w:t>
            </w:r>
            <w:proofErr w:type="spellStart"/>
            <w:r w:rsidRPr="00BE05E5">
              <w:rPr>
                <w:rFonts w:ascii="Palatino Linotype" w:hAnsi="Palatino Linotype" w:cs="Times New Roman"/>
                <w:bCs/>
                <w:sz w:val="18"/>
                <w:szCs w:val="18"/>
                <w:lang w:val="en-US"/>
              </w:rPr>
              <w:t>erythroleukoplakia</w:t>
            </w:r>
            <w:proofErr w:type="spellEnd"/>
            <w:r w:rsidRPr="00BE05E5">
              <w:rPr>
                <w:rFonts w:ascii="Palatino Linotype" w:hAnsi="Palatino Linotype" w:cs="Times New Roman"/>
                <w:bCs/>
                <w:sz w:val="18"/>
                <w:szCs w:val="18"/>
                <w:lang w:val="en-US"/>
              </w:rPr>
              <w:t xml:space="preserve">  OR  "Oral submucous fibrosis"  OR  "Submucous Fibrosis"  OR  "Oral Lichen Planus"  OR  cheilitis  OR  "actinic cheilosis"  OR  "Actinic cheilitis"  OR  "Actinic Keratoses"  OR  "Actinic Keratosis"  OR  "Reverse-cigar smokers"  OR  "smoker's palate"  OR  "reverse smokers"  OR  "Oral Lupus Erythematosus"  OR  "Dyskeratosis Congenita"  OR  "Oral Lichenoid Lesions"  OR  "Oral Lichenoid Lesion"  OR  "Oral graft versus host disease"  OR  "oral graft-versus-host disease")) AND TEMA: ((mouth  OR  mouths  OR  oral  OR  orals  OR  lip  OR  lips  OR  tongue  OR  "Mouth Mucosa"  OR  buccal  OR  palate  OR  palates  OR  "Mouth Floor"  OR  "cheek mucosa"  OR  alveolar  OR  gingiva  OR  </w:t>
            </w:r>
            <w:proofErr w:type="spellStart"/>
            <w:r w:rsidRPr="00BE05E5">
              <w:rPr>
                <w:rFonts w:ascii="Palatino Linotype" w:hAnsi="Palatino Linotype" w:cs="Times New Roman"/>
                <w:bCs/>
                <w:sz w:val="18"/>
                <w:szCs w:val="18"/>
                <w:lang w:val="en-US"/>
              </w:rPr>
              <w:t>gingivas</w:t>
            </w:r>
            <w:proofErr w:type="spellEnd"/>
            <w:r w:rsidRPr="00BE05E5">
              <w:rPr>
                <w:rFonts w:ascii="Palatino Linotype" w:hAnsi="Palatino Linotype" w:cs="Times New Roman"/>
                <w:bCs/>
                <w:sz w:val="18"/>
                <w:szCs w:val="18"/>
                <w:lang w:val="en-US"/>
              </w:rPr>
              <w:t xml:space="preserve">  OR  gum  OR  gums  OR  "interdental papilla"  OR  "interdental papillae"  OR  commissure  OR  "maxillary tuberosity"  OR  uvula  OR  uvular))</w:t>
            </w:r>
          </w:p>
        </w:tc>
        <w:tc>
          <w:tcPr>
            <w:tcW w:w="0" w:type="auto"/>
            <w:tcBorders>
              <w:top w:val="single" w:sz="4" w:space="0" w:color="auto"/>
              <w:bottom w:val="single" w:sz="4" w:space="0" w:color="auto"/>
            </w:tcBorders>
          </w:tcPr>
          <w:p w14:paraId="7E1DC930" w14:textId="77777777" w:rsidR="00841F64" w:rsidRPr="00BE05E5" w:rsidRDefault="00841F64" w:rsidP="00BE5756">
            <w:pPr>
              <w:jc w:val="center"/>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lastRenderedPageBreak/>
              <w:t>1220</w:t>
            </w:r>
          </w:p>
        </w:tc>
      </w:tr>
      <w:tr w:rsidR="00841F64" w:rsidRPr="00BE05E5" w14:paraId="30236997" w14:textId="77777777" w:rsidTr="00BE05E5">
        <w:tc>
          <w:tcPr>
            <w:tcW w:w="0" w:type="auto"/>
            <w:tcBorders>
              <w:top w:val="single" w:sz="4" w:space="0" w:color="auto"/>
              <w:bottom w:val="single" w:sz="4" w:space="0" w:color="auto"/>
            </w:tcBorders>
          </w:tcPr>
          <w:p w14:paraId="67C8C315" w14:textId="77777777" w:rsidR="00841F64" w:rsidRPr="00BE05E5" w:rsidRDefault="00841F64" w:rsidP="00BE5756">
            <w:pPr>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t xml:space="preserve">Google Scholar </w:t>
            </w:r>
          </w:p>
        </w:tc>
        <w:tc>
          <w:tcPr>
            <w:tcW w:w="0" w:type="auto"/>
            <w:tcBorders>
              <w:top w:val="single" w:sz="4" w:space="0" w:color="auto"/>
              <w:bottom w:val="single" w:sz="4" w:space="0" w:color="auto"/>
            </w:tcBorders>
          </w:tcPr>
          <w:p w14:paraId="1BF0F02C" w14:textId="77777777" w:rsidR="00841F64" w:rsidRPr="00BE05E5" w:rsidRDefault="00841F64" w:rsidP="00BE5756">
            <w:pPr>
              <w:jc w:val="both"/>
              <w:rPr>
                <w:rFonts w:ascii="Palatino Linotype" w:hAnsi="Palatino Linotype" w:cs="Times New Roman"/>
                <w:bCs/>
                <w:sz w:val="18"/>
                <w:szCs w:val="18"/>
                <w:lang w:val="en-US"/>
              </w:rPr>
            </w:pPr>
            <w:r w:rsidRPr="00BE05E5">
              <w:rPr>
                <w:rFonts w:ascii="Palatino Linotype" w:hAnsi="Palatino Linotype" w:cs="Times New Roman"/>
                <w:bCs/>
                <w:sz w:val="18"/>
                <w:szCs w:val="18"/>
                <w:lang w:val="en-US"/>
              </w:rPr>
              <w:t>(“Truth Disclosure" OR "Truth telling" OR "Professional-Patient Relations" OR Communication) AND (precancer OR "potentially malignant disorders” OR "pre malignancies") AND (Mouth OR "Oral cavity")</w:t>
            </w:r>
          </w:p>
        </w:tc>
        <w:tc>
          <w:tcPr>
            <w:tcW w:w="0" w:type="auto"/>
            <w:tcBorders>
              <w:top w:val="single" w:sz="4" w:space="0" w:color="auto"/>
              <w:bottom w:val="single" w:sz="4" w:space="0" w:color="auto"/>
            </w:tcBorders>
          </w:tcPr>
          <w:p w14:paraId="053A7EE9" w14:textId="77777777" w:rsidR="00841F64" w:rsidRPr="00BE05E5" w:rsidRDefault="00841F64" w:rsidP="00BE5756">
            <w:pPr>
              <w:jc w:val="center"/>
              <w:rPr>
                <w:rFonts w:ascii="Palatino Linotype" w:hAnsi="Palatino Linotype" w:cs="Times New Roman"/>
                <w:b/>
                <w:bCs/>
                <w:sz w:val="18"/>
                <w:szCs w:val="18"/>
                <w:lang w:val="en-US"/>
              </w:rPr>
            </w:pPr>
            <w:r w:rsidRPr="00BE05E5">
              <w:rPr>
                <w:rFonts w:ascii="Palatino Linotype" w:hAnsi="Palatino Linotype" w:cs="Times New Roman"/>
                <w:b/>
                <w:bCs/>
                <w:sz w:val="18"/>
                <w:szCs w:val="18"/>
                <w:lang w:val="en-US"/>
              </w:rPr>
              <w:t>100</w:t>
            </w:r>
          </w:p>
        </w:tc>
      </w:tr>
    </w:tbl>
    <w:p w14:paraId="0E7B6AAE" w14:textId="77777777" w:rsidR="003974C4" w:rsidRPr="00BE05E5" w:rsidRDefault="003974C4">
      <w:pPr>
        <w:rPr>
          <w:rFonts w:ascii="Palatino Linotype" w:hAnsi="Palatino Linotype" w:cs="Times New Roman"/>
          <w:sz w:val="18"/>
          <w:szCs w:val="18"/>
          <w:lang w:val="en-US"/>
        </w:rPr>
      </w:pPr>
    </w:p>
    <w:p w14:paraId="337C175C" w14:textId="6B3372D4" w:rsidR="00913F2D" w:rsidRPr="00BE05E5" w:rsidRDefault="008B6584">
      <w:pPr>
        <w:rPr>
          <w:rFonts w:ascii="Palatino Linotype" w:eastAsia="MS Mincho" w:hAnsi="Palatino Linotype" w:cs="Times New Roman"/>
          <w:color w:val="000000"/>
          <w:sz w:val="18"/>
          <w:szCs w:val="18"/>
          <w:lang w:val="en-US"/>
        </w:rPr>
      </w:pPr>
      <w:r>
        <w:rPr>
          <w:rFonts w:ascii="Palatino Linotype" w:hAnsi="Palatino Linotype" w:cs="Times New Roman"/>
          <w:b/>
          <w:sz w:val="18"/>
          <w:szCs w:val="18"/>
          <w:lang w:val="en-US"/>
        </w:rPr>
        <w:t xml:space="preserve">Supplementary </w:t>
      </w:r>
      <w:r w:rsidR="00BE05E5">
        <w:rPr>
          <w:rFonts w:ascii="Palatino Linotype" w:hAnsi="Palatino Linotype" w:cs="Times New Roman"/>
          <w:b/>
          <w:sz w:val="18"/>
          <w:szCs w:val="18"/>
          <w:lang w:val="en-US"/>
        </w:rPr>
        <w:t>Table</w:t>
      </w:r>
      <w:r w:rsidR="008B783E" w:rsidRPr="00BE05E5">
        <w:rPr>
          <w:rFonts w:ascii="Palatino Linotype" w:hAnsi="Palatino Linotype" w:cs="Times New Roman"/>
          <w:b/>
          <w:sz w:val="18"/>
          <w:szCs w:val="18"/>
          <w:lang w:val="en-US"/>
        </w:rPr>
        <w:t xml:space="preserve"> </w:t>
      </w:r>
      <w:r w:rsidR="00913F2D" w:rsidRPr="00BE05E5">
        <w:rPr>
          <w:rFonts w:ascii="Palatino Linotype" w:hAnsi="Palatino Linotype" w:cs="Times New Roman"/>
          <w:b/>
          <w:sz w:val="18"/>
          <w:szCs w:val="18"/>
          <w:lang w:val="en-US"/>
        </w:rPr>
        <w:t xml:space="preserve">2. </w:t>
      </w:r>
      <w:r w:rsidR="00430BEF" w:rsidRPr="00BE05E5">
        <w:rPr>
          <w:rFonts w:ascii="Palatino Linotype" w:eastAsia="MS Mincho" w:hAnsi="Palatino Linotype" w:cs="Times New Roman"/>
          <w:sz w:val="18"/>
          <w:szCs w:val="18"/>
          <w:lang w:val="en-US"/>
        </w:rPr>
        <w:t xml:space="preserve">Excluded articles </w:t>
      </w:r>
      <w:r w:rsidR="00D27511" w:rsidRPr="00BE05E5">
        <w:rPr>
          <w:rFonts w:ascii="Palatino Linotype" w:eastAsia="MS Mincho" w:hAnsi="Palatino Linotype" w:cs="Times New Roman"/>
          <w:sz w:val="18"/>
          <w:szCs w:val="18"/>
          <w:lang w:val="en-US"/>
        </w:rPr>
        <w:t>and the reasons for exclusion (n=</w:t>
      </w:r>
      <w:r w:rsidR="005B7D48" w:rsidRPr="00BE05E5">
        <w:rPr>
          <w:rFonts w:ascii="Palatino Linotype" w:eastAsia="MS Mincho" w:hAnsi="Palatino Linotype" w:cs="Times New Roman"/>
          <w:sz w:val="18"/>
          <w:szCs w:val="18"/>
          <w:lang w:val="en-US"/>
        </w:rPr>
        <w:t>1</w:t>
      </w:r>
      <w:r w:rsidR="00357FB5" w:rsidRPr="00BE05E5">
        <w:rPr>
          <w:rFonts w:ascii="Palatino Linotype" w:eastAsia="MS Mincho" w:hAnsi="Palatino Linotype" w:cs="Times New Roman"/>
          <w:sz w:val="18"/>
          <w:szCs w:val="18"/>
          <w:lang w:val="en-US"/>
        </w:rPr>
        <w:t>3</w:t>
      </w:r>
      <w:r w:rsidR="00D27511" w:rsidRPr="00BE05E5">
        <w:rPr>
          <w:rFonts w:ascii="Palatino Linotype" w:eastAsia="MS Mincho" w:hAnsi="Palatino Linotype" w:cs="Times New Roman"/>
          <w:sz w:val="18"/>
          <w:szCs w:val="18"/>
          <w:lang w:val="en-US"/>
        </w:rPr>
        <w:t>)</w:t>
      </w:r>
    </w:p>
    <w:tbl>
      <w:tblPr>
        <w:tblStyle w:val="PlainTable21"/>
        <w:tblW w:w="0" w:type="auto"/>
        <w:tblBorders>
          <w:top w:val="single" w:sz="4" w:space="0" w:color="auto"/>
          <w:bottom w:val="single" w:sz="4" w:space="0" w:color="auto"/>
        </w:tblBorders>
        <w:tblLook w:val="04A0" w:firstRow="1" w:lastRow="0" w:firstColumn="1" w:lastColumn="0" w:noHBand="0" w:noVBand="1"/>
      </w:tblPr>
      <w:tblGrid>
        <w:gridCol w:w="396"/>
        <w:gridCol w:w="2689"/>
        <w:gridCol w:w="2136"/>
        <w:gridCol w:w="17785"/>
      </w:tblGrid>
      <w:tr w:rsidR="000744E9" w:rsidRPr="00BE05E5" w14:paraId="525D0146" w14:textId="77777777" w:rsidTr="00C7165C">
        <w:trPr>
          <w:cnfStyle w:val="100000000000" w:firstRow="1" w:lastRow="0" w:firstColumn="0" w:lastColumn="0" w:oddVBand="0" w:evenVBand="0" w:oddHBand="0"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tcBorders>
            <w:shd w:val="clear" w:color="auto" w:fill="auto"/>
            <w:vAlign w:val="center"/>
          </w:tcPr>
          <w:p w14:paraId="3A9902E8" w14:textId="77777777" w:rsidR="000416A3" w:rsidRPr="00BE05E5" w:rsidRDefault="000416A3" w:rsidP="00C7165C">
            <w:pPr>
              <w:widowControl w:val="0"/>
              <w:autoSpaceDE w:val="0"/>
              <w:autoSpaceDN w:val="0"/>
              <w:adjustRightInd w:val="0"/>
              <w:spacing w:line="360" w:lineRule="auto"/>
              <w:jc w:val="center"/>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w:t>
            </w:r>
          </w:p>
        </w:tc>
        <w:tc>
          <w:tcPr>
            <w:tcW w:w="2689" w:type="dxa"/>
            <w:tcBorders>
              <w:top w:val="single" w:sz="4" w:space="0" w:color="auto"/>
              <w:bottom w:val="single" w:sz="4" w:space="0" w:color="auto"/>
            </w:tcBorders>
            <w:vAlign w:val="center"/>
          </w:tcPr>
          <w:p w14:paraId="1B1159FF" w14:textId="3B1EFBB7" w:rsidR="000416A3" w:rsidRPr="00BE05E5" w:rsidRDefault="000416A3" w:rsidP="00C7165C">
            <w:pPr>
              <w:widowControl w:val="0"/>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Author</w:t>
            </w:r>
            <w:r w:rsidR="00430BEF" w:rsidRPr="00BE05E5">
              <w:rPr>
                <w:rFonts w:ascii="Palatino Linotype" w:eastAsia="MS Mincho" w:hAnsi="Palatino Linotype" w:cs="Times New Roman"/>
                <w:sz w:val="18"/>
                <w:szCs w:val="18"/>
                <w:lang w:val="en-US"/>
              </w:rPr>
              <w:t xml:space="preserve"> (year)</w:t>
            </w:r>
          </w:p>
        </w:tc>
        <w:tc>
          <w:tcPr>
            <w:tcW w:w="2136" w:type="dxa"/>
            <w:tcBorders>
              <w:top w:val="single" w:sz="4" w:space="0" w:color="auto"/>
              <w:bottom w:val="single" w:sz="4" w:space="0" w:color="auto"/>
            </w:tcBorders>
            <w:vAlign w:val="center"/>
          </w:tcPr>
          <w:p w14:paraId="03B64BB4" w14:textId="77777777" w:rsidR="000416A3" w:rsidRPr="00BE05E5" w:rsidRDefault="000416A3" w:rsidP="00C7165C">
            <w:pPr>
              <w:widowControl w:val="0"/>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Reasons for Exclusion*</w:t>
            </w:r>
          </w:p>
        </w:tc>
        <w:tc>
          <w:tcPr>
            <w:tcW w:w="17785" w:type="dxa"/>
            <w:tcBorders>
              <w:top w:val="single" w:sz="4" w:space="0" w:color="auto"/>
              <w:bottom w:val="single" w:sz="4" w:space="0" w:color="auto"/>
            </w:tcBorders>
            <w:vAlign w:val="center"/>
          </w:tcPr>
          <w:p w14:paraId="0382F77C" w14:textId="77777777" w:rsidR="000416A3" w:rsidRPr="00BE05E5" w:rsidRDefault="000416A3" w:rsidP="00C7165C">
            <w:pPr>
              <w:widowControl w:val="0"/>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Reference</w:t>
            </w:r>
          </w:p>
        </w:tc>
      </w:tr>
      <w:tr w:rsidR="000744E9" w:rsidRPr="00BE05E5" w14:paraId="2ED700EC" w14:textId="77777777" w:rsidTr="00C7165C">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none" w:sz="0" w:space="0" w:color="auto"/>
            </w:tcBorders>
            <w:shd w:val="clear" w:color="auto" w:fill="auto"/>
          </w:tcPr>
          <w:p w14:paraId="56818F7A" w14:textId="70A5C3C7" w:rsidR="000416A3"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w:t>
            </w:r>
          </w:p>
        </w:tc>
        <w:tc>
          <w:tcPr>
            <w:tcW w:w="2689" w:type="dxa"/>
            <w:tcBorders>
              <w:top w:val="single" w:sz="4" w:space="0" w:color="auto"/>
              <w:bottom w:val="none" w:sz="0" w:space="0" w:color="auto"/>
            </w:tcBorders>
          </w:tcPr>
          <w:p w14:paraId="436A2E1C" w14:textId="77777777" w:rsidR="000416A3" w:rsidRPr="00BE05E5" w:rsidRDefault="000416A3"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lang w:val="en-US"/>
              </w:rPr>
              <w:t>Crossan</w:t>
            </w:r>
            <w:proofErr w:type="spellEnd"/>
            <w:r w:rsidRPr="00BE05E5">
              <w:rPr>
                <w:rFonts w:ascii="Palatino Linotype" w:eastAsia="MS Mincho" w:hAnsi="Palatino Linotype" w:cs="Times New Roman"/>
                <w:sz w:val="18"/>
                <w:szCs w:val="18"/>
                <w:lang w:val="en-US"/>
              </w:rPr>
              <w:t xml:space="preserve"> L &amp; Conway DI (2019)</w:t>
            </w:r>
          </w:p>
        </w:tc>
        <w:tc>
          <w:tcPr>
            <w:tcW w:w="2136" w:type="dxa"/>
            <w:tcBorders>
              <w:top w:val="single" w:sz="4" w:space="0" w:color="auto"/>
              <w:bottom w:val="none" w:sz="0" w:space="0" w:color="auto"/>
            </w:tcBorders>
          </w:tcPr>
          <w:p w14:paraId="5B77CC80" w14:textId="77777777" w:rsidR="000416A3" w:rsidRPr="00BE05E5" w:rsidRDefault="000416A3" w:rsidP="00C7165C">
            <w:pPr>
              <w:widowControl w:val="0"/>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rPr>
            </w:pPr>
            <w:r w:rsidRPr="00BE05E5">
              <w:rPr>
                <w:rFonts w:ascii="Palatino Linotype" w:eastAsia="MS Mincho" w:hAnsi="Palatino Linotype" w:cs="Times New Roman"/>
                <w:sz w:val="18"/>
                <w:szCs w:val="18"/>
              </w:rPr>
              <w:t>1</w:t>
            </w:r>
          </w:p>
        </w:tc>
        <w:tc>
          <w:tcPr>
            <w:tcW w:w="17785" w:type="dxa"/>
            <w:tcBorders>
              <w:top w:val="single" w:sz="4" w:space="0" w:color="auto"/>
              <w:bottom w:val="none" w:sz="0" w:space="0" w:color="auto"/>
            </w:tcBorders>
          </w:tcPr>
          <w:p w14:paraId="1DED2CA9" w14:textId="77777777" w:rsidR="000416A3" w:rsidRPr="00BE05E5" w:rsidRDefault="000416A3" w:rsidP="00C7165C">
            <w:pPr>
              <w:spacing w:line="360" w:lineRule="auto"/>
              <w:cnfStyle w:val="000000100000" w:firstRow="0" w:lastRow="0" w:firstColumn="0" w:lastColumn="0" w:oddVBand="0" w:evenVBand="0" w:oddHBand="1" w:evenHBand="0" w:firstRowFirstColumn="0" w:firstRowLastColumn="0" w:lastRowFirstColumn="0" w:lastRowLastColumn="0"/>
              <w:rPr>
                <w:rFonts w:ascii="Palatino Linotype" w:hAnsi="Palatino Linotype" w:cs="Times New Roman"/>
                <w:sz w:val="18"/>
                <w:szCs w:val="18"/>
                <w:lang w:val="en-US"/>
              </w:rPr>
            </w:pPr>
            <w:proofErr w:type="spellStart"/>
            <w:r w:rsidRPr="00BE05E5">
              <w:rPr>
                <w:rFonts w:ascii="Palatino Linotype" w:hAnsi="Palatino Linotype" w:cs="Times New Roman"/>
                <w:sz w:val="18"/>
                <w:szCs w:val="18"/>
                <w:lang w:val="en-US"/>
              </w:rPr>
              <w:t>Crossan</w:t>
            </w:r>
            <w:proofErr w:type="spellEnd"/>
            <w:r w:rsidRPr="00BE05E5">
              <w:rPr>
                <w:rFonts w:ascii="Palatino Linotype" w:hAnsi="Palatino Linotype" w:cs="Times New Roman"/>
                <w:sz w:val="18"/>
                <w:szCs w:val="18"/>
                <w:lang w:val="en-US"/>
              </w:rPr>
              <w:t xml:space="preserve"> L, Conway DI. Another oral cancer clinical guideline - but does it propose changes to dental practice? Evid Based Dent. 2019; 20(1):7-8. </w:t>
            </w:r>
          </w:p>
        </w:tc>
      </w:tr>
      <w:tr w:rsidR="009A1576" w:rsidRPr="00C824FC" w14:paraId="58B495E3" w14:textId="77777777" w:rsidTr="00C7165C">
        <w:trPr>
          <w:trHeight w:val="18"/>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94B3A0D" w14:textId="255EBA3B" w:rsidR="000416A3"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2</w:t>
            </w:r>
          </w:p>
        </w:tc>
        <w:tc>
          <w:tcPr>
            <w:tcW w:w="2689" w:type="dxa"/>
          </w:tcPr>
          <w:p w14:paraId="25FEAFCF" w14:textId="77777777" w:rsidR="000416A3" w:rsidRPr="00BE05E5" w:rsidRDefault="000416A3"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Brocklehurst</w:t>
            </w:r>
            <w:r w:rsidRPr="00BE05E5">
              <w:rPr>
                <w:rFonts w:ascii="Palatino Linotype" w:eastAsia="Calibri" w:hAnsi="Palatino Linotype" w:cs="Times New Roman"/>
                <w:sz w:val="18"/>
                <w:szCs w:val="18"/>
                <w:lang w:val="en-US"/>
              </w:rPr>
              <w:t xml:space="preserve"> </w:t>
            </w:r>
            <w:r w:rsidRPr="00BE05E5">
              <w:rPr>
                <w:rFonts w:ascii="Palatino Linotype" w:eastAsia="Calibri" w:hAnsi="Palatino Linotype" w:cs="Times New Roman"/>
                <w:i/>
                <w:sz w:val="18"/>
                <w:szCs w:val="18"/>
                <w:lang w:val="en-US"/>
              </w:rPr>
              <w:t>et al.</w:t>
            </w:r>
            <w:r w:rsidRPr="00BE05E5">
              <w:rPr>
                <w:rFonts w:ascii="Palatino Linotype" w:eastAsia="Calibri" w:hAnsi="Palatino Linotype" w:cs="Times New Roman"/>
                <w:sz w:val="18"/>
                <w:szCs w:val="18"/>
                <w:lang w:val="en-US"/>
              </w:rPr>
              <w:t xml:space="preserve"> (2010)</w:t>
            </w:r>
          </w:p>
        </w:tc>
        <w:tc>
          <w:tcPr>
            <w:tcW w:w="2136" w:type="dxa"/>
          </w:tcPr>
          <w:p w14:paraId="36AB5CAF" w14:textId="345F6E2E" w:rsidR="000416A3" w:rsidRPr="00BE05E5" w:rsidRDefault="00816DA8" w:rsidP="00C7165C">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rPr>
            </w:pPr>
            <w:r w:rsidRPr="00BE05E5">
              <w:rPr>
                <w:rFonts w:ascii="Palatino Linotype" w:eastAsia="MS Mincho" w:hAnsi="Palatino Linotype" w:cs="Times New Roman"/>
                <w:sz w:val="18"/>
                <w:szCs w:val="18"/>
                <w:lang w:val="en-US"/>
              </w:rPr>
              <w:t>3</w:t>
            </w:r>
          </w:p>
        </w:tc>
        <w:tc>
          <w:tcPr>
            <w:tcW w:w="17785" w:type="dxa"/>
          </w:tcPr>
          <w:p w14:paraId="670F8029" w14:textId="77777777" w:rsidR="000416A3" w:rsidRPr="00BE05E5" w:rsidRDefault="000416A3"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Brocklehurst PR, Baker SR, Speight PM. A qualitative study examining the experience of primary care dentists in the detection and management of potentially malignant lesions. 1. Factors influencing detection and the decision to refer. Br Dent J. 2010; 208(2): E3; discussion 72-3.</w:t>
            </w:r>
          </w:p>
        </w:tc>
      </w:tr>
      <w:tr w:rsidR="009A1576" w:rsidRPr="00BE05E5" w14:paraId="00CE4FC7" w14:textId="77777777" w:rsidTr="00C7165C">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34241856" w14:textId="32EE7446" w:rsidR="000416A3"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3</w:t>
            </w:r>
          </w:p>
        </w:tc>
        <w:tc>
          <w:tcPr>
            <w:tcW w:w="2689" w:type="dxa"/>
            <w:tcBorders>
              <w:top w:val="none" w:sz="0" w:space="0" w:color="auto"/>
              <w:bottom w:val="none" w:sz="0" w:space="0" w:color="auto"/>
            </w:tcBorders>
          </w:tcPr>
          <w:p w14:paraId="67C65E73" w14:textId="77777777" w:rsidR="000416A3" w:rsidRPr="00BE05E5" w:rsidRDefault="000744E9"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rPr>
              <w:t>Graner</w:t>
            </w:r>
            <w:proofErr w:type="spellEnd"/>
            <w:r w:rsidRPr="00BE05E5">
              <w:rPr>
                <w:rFonts w:ascii="Palatino Linotype" w:eastAsia="MS Mincho" w:hAnsi="Palatino Linotype" w:cs="Times New Roman"/>
                <w:sz w:val="18"/>
                <w:szCs w:val="18"/>
              </w:rPr>
              <w:t xml:space="preserve"> KM et al. (2016)</w:t>
            </w:r>
          </w:p>
        </w:tc>
        <w:tc>
          <w:tcPr>
            <w:tcW w:w="2136" w:type="dxa"/>
            <w:tcBorders>
              <w:top w:val="none" w:sz="0" w:space="0" w:color="auto"/>
              <w:bottom w:val="none" w:sz="0" w:space="0" w:color="auto"/>
            </w:tcBorders>
          </w:tcPr>
          <w:p w14:paraId="40225F5C" w14:textId="77777777" w:rsidR="000416A3" w:rsidRPr="00BE05E5" w:rsidRDefault="008D5EAB" w:rsidP="00C7165C">
            <w:pPr>
              <w:widowControl w:val="0"/>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w:t>
            </w:r>
          </w:p>
        </w:tc>
        <w:tc>
          <w:tcPr>
            <w:tcW w:w="17785" w:type="dxa"/>
            <w:tcBorders>
              <w:top w:val="none" w:sz="0" w:space="0" w:color="auto"/>
              <w:bottom w:val="none" w:sz="0" w:space="0" w:color="auto"/>
            </w:tcBorders>
          </w:tcPr>
          <w:p w14:paraId="01B11063" w14:textId="77777777" w:rsidR="000416A3" w:rsidRPr="00BE05E5" w:rsidRDefault="000744E9"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rPr>
              <w:t>Graner</w:t>
            </w:r>
            <w:proofErr w:type="spellEnd"/>
            <w:r w:rsidRPr="00BE05E5">
              <w:rPr>
                <w:rFonts w:ascii="Palatino Linotype" w:eastAsia="MS Mincho" w:hAnsi="Palatino Linotype" w:cs="Times New Roman"/>
                <w:sz w:val="18"/>
                <w:szCs w:val="18"/>
              </w:rPr>
              <w:t xml:space="preserve"> KM, Rolim GS, Moraes ABA, Padovani CR, Lopes MA, Santos-Silva AR, Ramos-Cerqueira ATA. </w:t>
            </w:r>
            <w:r w:rsidRPr="00BE05E5">
              <w:rPr>
                <w:rFonts w:ascii="Palatino Linotype" w:eastAsia="MS Mincho" w:hAnsi="Palatino Linotype" w:cs="Times New Roman"/>
                <w:sz w:val="18"/>
                <w:szCs w:val="18"/>
                <w:lang w:val="en-US"/>
              </w:rPr>
              <w:t>Feelings, perceptions, and expectations of patients during the process of oral cancer diagnosis. Support Care Cancer. 2016; 24(5):2323-2332.</w:t>
            </w:r>
          </w:p>
        </w:tc>
      </w:tr>
      <w:tr w:rsidR="009A1576" w:rsidRPr="00BE05E5" w14:paraId="1A56115F" w14:textId="77777777" w:rsidTr="00C7165C">
        <w:trPr>
          <w:trHeight w:val="18"/>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5D74669" w14:textId="7A8A6394" w:rsidR="000416A3"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4</w:t>
            </w:r>
          </w:p>
        </w:tc>
        <w:tc>
          <w:tcPr>
            <w:tcW w:w="2689" w:type="dxa"/>
          </w:tcPr>
          <w:p w14:paraId="2EB4EEB3" w14:textId="77777777" w:rsidR="000416A3" w:rsidRPr="00BE05E5" w:rsidRDefault="008D5EAB"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Llewellyn CD et al. (2006)</w:t>
            </w:r>
          </w:p>
        </w:tc>
        <w:tc>
          <w:tcPr>
            <w:tcW w:w="2136" w:type="dxa"/>
          </w:tcPr>
          <w:p w14:paraId="6E361775" w14:textId="77777777" w:rsidR="000416A3" w:rsidRPr="00BE05E5" w:rsidRDefault="008D5EAB" w:rsidP="00C7165C">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w:t>
            </w:r>
          </w:p>
        </w:tc>
        <w:tc>
          <w:tcPr>
            <w:tcW w:w="17785" w:type="dxa"/>
          </w:tcPr>
          <w:p w14:paraId="2C2ECC08" w14:textId="77777777" w:rsidR="000416A3" w:rsidRPr="00BE05E5" w:rsidRDefault="008D5EAB"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Llewellyn CD, McGurk M, Weinman J. How satisfied are head and neck cancer (HNC) patients with the information they receive pre-treatment? Results from the satisfaction with cancer information profile (SCIP). Oral Oncol. 2006; 42(7):726-34.</w:t>
            </w:r>
          </w:p>
        </w:tc>
      </w:tr>
      <w:tr w:rsidR="000744E9" w:rsidRPr="00BE05E5" w14:paraId="6782D0E8" w14:textId="77777777" w:rsidTr="00C7165C">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72E52168" w14:textId="6AF962BF" w:rsidR="000416A3"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5</w:t>
            </w:r>
          </w:p>
        </w:tc>
        <w:tc>
          <w:tcPr>
            <w:tcW w:w="2689" w:type="dxa"/>
            <w:tcBorders>
              <w:top w:val="none" w:sz="0" w:space="0" w:color="auto"/>
              <w:bottom w:val="none" w:sz="0" w:space="0" w:color="auto"/>
            </w:tcBorders>
          </w:tcPr>
          <w:p w14:paraId="5B3F7FF3" w14:textId="5A277A9C" w:rsidR="000416A3" w:rsidRPr="00BE05E5" w:rsidRDefault="003102CE"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Burkhart NW et al. (1997)</w:t>
            </w:r>
          </w:p>
        </w:tc>
        <w:tc>
          <w:tcPr>
            <w:tcW w:w="2136" w:type="dxa"/>
            <w:tcBorders>
              <w:top w:val="none" w:sz="0" w:space="0" w:color="auto"/>
              <w:bottom w:val="none" w:sz="0" w:space="0" w:color="auto"/>
            </w:tcBorders>
          </w:tcPr>
          <w:p w14:paraId="2E1C8025" w14:textId="4C12B8F8" w:rsidR="000416A3" w:rsidRPr="00BE05E5" w:rsidRDefault="00816DA8" w:rsidP="00C7165C">
            <w:pPr>
              <w:widowControl w:val="0"/>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4</w:t>
            </w:r>
          </w:p>
        </w:tc>
        <w:tc>
          <w:tcPr>
            <w:tcW w:w="17785" w:type="dxa"/>
            <w:tcBorders>
              <w:top w:val="none" w:sz="0" w:space="0" w:color="auto"/>
              <w:bottom w:val="none" w:sz="0" w:space="0" w:color="auto"/>
            </w:tcBorders>
          </w:tcPr>
          <w:p w14:paraId="166CD061" w14:textId="0C713BC9" w:rsidR="000416A3" w:rsidRPr="00BE05E5" w:rsidRDefault="003102CE"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 xml:space="preserve">Burkhart NW, Burkes EJ, </w:t>
            </w:r>
            <w:proofErr w:type="spellStart"/>
            <w:r w:rsidRPr="00BE05E5">
              <w:rPr>
                <w:rFonts w:ascii="Palatino Linotype" w:eastAsia="MS Mincho" w:hAnsi="Palatino Linotype" w:cs="Times New Roman"/>
                <w:sz w:val="18"/>
                <w:szCs w:val="18"/>
                <w:lang w:val="en-US"/>
              </w:rPr>
              <w:t>Burker</w:t>
            </w:r>
            <w:proofErr w:type="spellEnd"/>
            <w:r w:rsidRPr="00BE05E5">
              <w:rPr>
                <w:rFonts w:ascii="Palatino Linotype" w:eastAsia="MS Mincho" w:hAnsi="Palatino Linotype" w:cs="Times New Roman"/>
                <w:sz w:val="18"/>
                <w:szCs w:val="18"/>
                <w:lang w:val="en-US"/>
              </w:rPr>
              <w:t xml:space="preserve"> EJ. Meeting the educational needs of patients with oral lichen planus. Gen Dent. 1997; 45(2):126-32.</w:t>
            </w:r>
          </w:p>
        </w:tc>
      </w:tr>
      <w:tr w:rsidR="000744E9" w:rsidRPr="00BE05E5" w14:paraId="318A812F" w14:textId="77777777" w:rsidTr="00C7165C">
        <w:trPr>
          <w:trHeight w:val="18"/>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209552EA" w14:textId="5E6ED9E9" w:rsidR="000416A3"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6</w:t>
            </w:r>
          </w:p>
        </w:tc>
        <w:tc>
          <w:tcPr>
            <w:tcW w:w="2689" w:type="dxa"/>
          </w:tcPr>
          <w:p w14:paraId="1B9A8D70" w14:textId="068B11B0" w:rsidR="000416A3" w:rsidRPr="00BE05E5" w:rsidRDefault="00010454"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Brocklehurst</w:t>
            </w:r>
            <w:r w:rsidRPr="00BE05E5">
              <w:rPr>
                <w:rFonts w:ascii="Palatino Linotype" w:eastAsia="Calibri" w:hAnsi="Palatino Linotype" w:cs="Times New Roman"/>
                <w:sz w:val="18"/>
                <w:szCs w:val="18"/>
                <w:lang w:val="en-US"/>
              </w:rPr>
              <w:t xml:space="preserve"> </w:t>
            </w:r>
            <w:r w:rsidRPr="00BE05E5">
              <w:rPr>
                <w:rFonts w:ascii="Palatino Linotype" w:eastAsia="Calibri" w:hAnsi="Palatino Linotype" w:cs="Times New Roman"/>
                <w:i/>
                <w:sz w:val="18"/>
                <w:szCs w:val="18"/>
                <w:lang w:val="en-US"/>
              </w:rPr>
              <w:t>et al.</w:t>
            </w:r>
            <w:r w:rsidRPr="00BE05E5">
              <w:rPr>
                <w:rFonts w:ascii="Palatino Linotype" w:eastAsia="Calibri" w:hAnsi="Palatino Linotype" w:cs="Times New Roman"/>
                <w:sz w:val="18"/>
                <w:szCs w:val="18"/>
                <w:lang w:val="en-US"/>
              </w:rPr>
              <w:t xml:space="preserve"> (2010)</w:t>
            </w:r>
          </w:p>
        </w:tc>
        <w:tc>
          <w:tcPr>
            <w:tcW w:w="2136" w:type="dxa"/>
          </w:tcPr>
          <w:p w14:paraId="1330BE88" w14:textId="054EEF45" w:rsidR="000416A3" w:rsidRPr="00BE05E5" w:rsidRDefault="00816DA8" w:rsidP="00C7165C">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3</w:t>
            </w:r>
          </w:p>
        </w:tc>
        <w:tc>
          <w:tcPr>
            <w:tcW w:w="17785" w:type="dxa"/>
          </w:tcPr>
          <w:p w14:paraId="500A2DC3" w14:textId="6C5750EE" w:rsidR="000416A3" w:rsidRPr="00BE05E5" w:rsidRDefault="00010454"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Brocklehurst PR, Baker SR, Speight PM. Primary care clinicians and the detection and referral of potentially malignant disorders in the mouth: a summary of the current evidence. Prim Dent Care. 2010; 17(2):65-71.</w:t>
            </w:r>
          </w:p>
        </w:tc>
      </w:tr>
      <w:tr w:rsidR="009D68A3" w:rsidRPr="00BE05E5" w14:paraId="42B26D5B" w14:textId="77777777" w:rsidTr="00C7165C">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63958E77" w14:textId="77AEDA9C" w:rsidR="009D68A3"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7</w:t>
            </w:r>
          </w:p>
        </w:tc>
        <w:tc>
          <w:tcPr>
            <w:tcW w:w="2689" w:type="dxa"/>
            <w:tcBorders>
              <w:top w:val="none" w:sz="0" w:space="0" w:color="auto"/>
              <w:bottom w:val="none" w:sz="0" w:space="0" w:color="auto"/>
            </w:tcBorders>
          </w:tcPr>
          <w:p w14:paraId="7B874E22" w14:textId="38C1FABF" w:rsidR="009D68A3" w:rsidRPr="00BE05E5" w:rsidRDefault="009D68A3"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Sri Varsha et al. (2019)</w:t>
            </w:r>
          </w:p>
        </w:tc>
        <w:tc>
          <w:tcPr>
            <w:tcW w:w="2136" w:type="dxa"/>
            <w:tcBorders>
              <w:top w:val="none" w:sz="0" w:space="0" w:color="auto"/>
              <w:bottom w:val="none" w:sz="0" w:space="0" w:color="auto"/>
            </w:tcBorders>
          </w:tcPr>
          <w:p w14:paraId="10CD6591" w14:textId="403DD021" w:rsidR="009D68A3" w:rsidRPr="00BE05E5" w:rsidRDefault="00816DA8" w:rsidP="00C7165C">
            <w:pPr>
              <w:widowControl w:val="0"/>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4</w:t>
            </w:r>
          </w:p>
        </w:tc>
        <w:tc>
          <w:tcPr>
            <w:tcW w:w="17785" w:type="dxa"/>
            <w:tcBorders>
              <w:top w:val="none" w:sz="0" w:space="0" w:color="auto"/>
              <w:bottom w:val="none" w:sz="0" w:space="0" w:color="auto"/>
            </w:tcBorders>
          </w:tcPr>
          <w:p w14:paraId="32BE1EDA" w14:textId="61CDE3BA" w:rsidR="009D68A3" w:rsidRPr="00BE05E5" w:rsidRDefault="009D68A3"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 xml:space="preserve">Sri Varsha, L.; Krishnan, M. Quality of life in patients with precancerous lesions - A short review of literature. Drug Invention Today. 2019; 11: 2800-2803 </w:t>
            </w:r>
          </w:p>
        </w:tc>
      </w:tr>
      <w:tr w:rsidR="00C360BA" w:rsidRPr="00BE05E5" w14:paraId="131F6E4A" w14:textId="77777777" w:rsidTr="00C7165C">
        <w:trPr>
          <w:trHeight w:val="18"/>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AC72010" w14:textId="6AB6BF43" w:rsidR="00C360BA"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8</w:t>
            </w:r>
          </w:p>
        </w:tc>
        <w:tc>
          <w:tcPr>
            <w:tcW w:w="2689" w:type="dxa"/>
          </w:tcPr>
          <w:p w14:paraId="5425F5FB" w14:textId="3FC82454" w:rsidR="00C360BA" w:rsidRPr="00BE05E5" w:rsidRDefault="002C1AA4"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lang w:val="en-US"/>
              </w:rPr>
              <w:t>Aghi</w:t>
            </w:r>
            <w:proofErr w:type="spellEnd"/>
            <w:r w:rsidRPr="00BE05E5">
              <w:rPr>
                <w:rFonts w:ascii="Palatino Linotype" w:eastAsia="MS Mincho" w:hAnsi="Palatino Linotype" w:cs="Times New Roman"/>
                <w:sz w:val="18"/>
                <w:szCs w:val="18"/>
                <w:lang w:val="en-US"/>
              </w:rPr>
              <w:t>, M. B (2014)</w:t>
            </w:r>
          </w:p>
        </w:tc>
        <w:tc>
          <w:tcPr>
            <w:tcW w:w="2136" w:type="dxa"/>
          </w:tcPr>
          <w:p w14:paraId="4F5A74CD" w14:textId="1E666652" w:rsidR="00C360BA" w:rsidRPr="00BE05E5" w:rsidRDefault="00816DA8" w:rsidP="00C7165C">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4</w:t>
            </w:r>
          </w:p>
        </w:tc>
        <w:tc>
          <w:tcPr>
            <w:tcW w:w="17785" w:type="dxa"/>
          </w:tcPr>
          <w:p w14:paraId="5C3FB569" w14:textId="119D9C99" w:rsidR="00C360BA" w:rsidRPr="00BE05E5" w:rsidRDefault="002C1AA4"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lang w:val="en-US"/>
              </w:rPr>
              <w:t>Aghi</w:t>
            </w:r>
            <w:proofErr w:type="spellEnd"/>
            <w:r w:rsidRPr="00BE05E5">
              <w:rPr>
                <w:rFonts w:ascii="Palatino Linotype" w:eastAsia="MS Mincho" w:hAnsi="Palatino Linotype" w:cs="Times New Roman"/>
                <w:sz w:val="18"/>
                <w:szCs w:val="18"/>
                <w:lang w:val="en-US"/>
              </w:rPr>
              <w:t xml:space="preserve">, M. B. </w:t>
            </w:r>
            <w:r w:rsidR="00C360BA" w:rsidRPr="00BE05E5">
              <w:rPr>
                <w:rFonts w:ascii="Palatino Linotype" w:eastAsia="MS Mincho" w:hAnsi="Palatino Linotype" w:cs="Times New Roman"/>
                <w:sz w:val="18"/>
                <w:szCs w:val="18"/>
                <w:lang w:val="en-US"/>
              </w:rPr>
              <w:t>Successful strategies of education and communication to prevent the occurrence of oral cancer among rural Indian population.</w:t>
            </w:r>
            <w:r w:rsidRPr="00BE05E5">
              <w:rPr>
                <w:rFonts w:ascii="Palatino Linotype" w:eastAsia="MS Mincho" w:hAnsi="Palatino Linotype" w:cs="Times New Roman"/>
                <w:sz w:val="18"/>
                <w:szCs w:val="18"/>
                <w:lang w:val="en-US"/>
              </w:rPr>
              <w:t xml:space="preserve"> </w:t>
            </w:r>
            <w:r w:rsidR="00C360BA" w:rsidRPr="00BE05E5">
              <w:rPr>
                <w:rFonts w:ascii="Palatino Linotype" w:eastAsia="MS Mincho" w:hAnsi="Palatino Linotype" w:cs="Times New Roman"/>
                <w:sz w:val="18"/>
                <w:szCs w:val="18"/>
                <w:lang w:val="en-US"/>
              </w:rPr>
              <w:t>Journal: Asia-Pacific Journal of Clinical Oncology</w:t>
            </w:r>
            <w:r w:rsidRPr="00BE05E5">
              <w:rPr>
                <w:rFonts w:ascii="Palatino Linotype" w:eastAsia="MS Mincho" w:hAnsi="Palatino Linotype" w:cs="Times New Roman"/>
                <w:sz w:val="18"/>
                <w:szCs w:val="18"/>
                <w:lang w:val="en-US"/>
              </w:rPr>
              <w:t xml:space="preserve">. 2014; </w:t>
            </w:r>
            <w:r w:rsidR="00C360BA" w:rsidRPr="00BE05E5">
              <w:rPr>
                <w:rFonts w:ascii="Palatino Linotype" w:eastAsia="MS Mincho" w:hAnsi="Palatino Linotype" w:cs="Times New Roman"/>
                <w:sz w:val="18"/>
                <w:szCs w:val="18"/>
                <w:lang w:val="en-US"/>
              </w:rPr>
              <w:t>10</w:t>
            </w:r>
            <w:r w:rsidRPr="00BE05E5">
              <w:rPr>
                <w:rFonts w:ascii="Palatino Linotype" w:eastAsia="MS Mincho" w:hAnsi="Palatino Linotype" w:cs="Times New Roman"/>
                <w:sz w:val="18"/>
                <w:szCs w:val="18"/>
                <w:lang w:val="en-US"/>
              </w:rPr>
              <w:t xml:space="preserve">: </w:t>
            </w:r>
            <w:r w:rsidR="00C360BA" w:rsidRPr="00BE05E5">
              <w:rPr>
                <w:rFonts w:ascii="Palatino Linotype" w:eastAsia="MS Mincho" w:hAnsi="Palatino Linotype" w:cs="Times New Roman"/>
                <w:sz w:val="18"/>
                <w:szCs w:val="18"/>
                <w:lang w:val="en-US"/>
              </w:rPr>
              <w:t>58</w:t>
            </w:r>
            <w:r w:rsidRPr="00BE05E5">
              <w:rPr>
                <w:rFonts w:ascii="Palatino Linotype" w:eastAsia="MS Mincho" w:hAnsi="Palatino Linotype" w:cs="Times New Roman"/>
                <w:sz w:val="18"/>
                <w:szCs w:val="18"/>
                <w:lang w:val="en-US"/>
              </w:rPr>
              <w:t>.</w:t>
            </w:r>
          </w:p>
        </w:tc>
      </w:tr>
      <w:tr w:rsidR="00010454" w:rsidRPr="00C824FC" w14:paraId="5F5FB84D" w14:textId="77777777" w:rsidTr="00C7165C">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6E2B5534" w14:textId="5E99CC69" w:rsidR="00010454" w:rsidRPr="00BE05E5" w:rsidRDefault="00D129F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9</w:t>
            </w:r>
          </w:p>
        </w:tc>
        <w:tc>
          <w:tcPr>
            <w:tcW w:w="2689" w:type="dxa"/>
            <w:tcBorders>
              <w:top w:val="none" w:sz="0" w:space="0" w:color="auto"/>
              <w:bottom w:val="none" w:sz="0" w:space="0" w:color="auto"/>
            </w:tcBorders>
          </w:tcPr>
          <w:p w14:paraId="0F7090D3" w14:textId="407769E6" w:rsidR="00010454" w:rsidRPr="00BE05E5" w:rsidRDefault="001F3E98"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Ogden G.R. (2010)</w:t>
            </w:r>
          </w:p>
        </w:tc>
        <w:tc>
          <w:tcPr>
            <w:tcW w:w="2136" w:type="dxa"/>
            <w:tcBorders>
              <w:top w:val="none" w:sz="0" w:space="0" w:color="auto"/>
              <w:bottom w:val="none" w:sz="0" w:space="0" w:color="auto"/>
            </w:tcBorders>
          </w:tcPr>
          <w:p w14:paraId="6C70958A" w14:textId="59701395" w:rsidR="00010454" w:rsidRPr="00BE05E5" w:rsidRDefault="00594296" w:rsidP="00C7165C">
            <w:pPr>
              <w:widowControl w:val="0"/>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5</w:t>
            </w:r>
          </w:p>
        </w:tc>
        <w:tc>
          <w:tcPr>
            <w:tcW w:w="17785" w:type="dxa"/>
            <w:tcBorders>
              <w:top w:val="none" w:sz="0" w:space="0" w:color="auto"/>
              <w:bottom w:val="none" w:sz="0" w:space="0" w:color="auto"/>
            </w:tcBorders>
          </w:tcPr>
          <w:p w14:paraId="3625B363" w14:textId="24C6B366" w:rsidR="00010454" w:rsidRPr="00BE05E5" w:rsidRDefault="001F3E98"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Ogden G.R. Summary of: A qualitative study examining the experience of primary care dentists in the detection and management of potentially malignant lesions. 2. Mechanics of the referral and patient communication. G. R. Ogden. British Dental Journal volume 208, pages74–75 (2010) Cite this article. Published: 23 January 2010.</w:t>
            </w:r>
          </w:p>
        </w:tc>
      </w:tr>
      <w:tr w:rsidR="00F37280" w:rsidRPr="00BE05E5" w14:paraId="38A2175F" w14:textId="77777777" w:rsidTr="00C7165C">
        <w:trPr>
          <w:trHeight w:val="18"/>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6F34BF1" w14:textId="3A4EF3DD" w:rsidR="00F37280" w:rsidRPr="00BE05E5" w:rsidRDefault="00F37280"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w:t>
            </w:r>
            <w:r w:rsidR="00D129F5" w:rsidRPr="00BE05E5">
              <w:rPr>
                <w:rFonts w:ascii="Palatino Linotype" w:eastAsia="MS Mincho" w:hAnsi="Palatino Linotype" w:cs="Times New Roman"/>
                <w:sz w:val="18"/>
                <w:szCs w:val="18"/>
                <w:lang w:val="en-US"/>
              </w:rPr>
              <w:t>0</w:t>
            </w:r>
          </w:p>
        </w:tc>
        <w:tc>
          <w:tcPr>
            <w:tcW w:w="2689" w:type="dxa"/>
          </w:tcPr>
          <w:p w14:paraId="4EB536B1" w14:textId="233A1F2F" w:rsidR="00F37280" w:rsidRPr="00BE05E5" w:rsidRDefault="00F37280"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Green, R et al. (2011)</w:t>
            </w:r>
          </w:p>
        </w:tc>
        <w:tc>
          <w:tcPr>
            <w:tcW w:w="2136" w:type="dxa"/>
          </w:tcPr>
          <w:p w14:paraId="18FFF9DF" w14:textId="3BAC1305" w:rsidR="00F37280" w:rsidRPr="00BE05E5" w:rsidRDefault="00816DA8" w:rsidP="00C7165C">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4</w:t>
            </w:r>
          </w:p>
        </w:tc>
        <w:tc>
          <w:tcPr>
            <w:tcW w:w="17785" w:type="dxa"/>
          </w:tcPr>
          <w:p w14:paraId="2F21A41F" w14:textId="1A692EE0" w:rsidR="00F37280" w:rsidRPr="00BE05E5" w:rsidRDefault="00F37280"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 xml:space="preserve">Green, R.; Thomson, P. J.; Exley, C.; Steele, J. G. Understanding the transition from primary to secondary care: Experiences of patients with oral precancer. British Journal of Oral and Maxillofacial Surgery. 2011; 49: S60. </w:t>
            </w:r>
          </w:p>
        </w:tc>
      </w:tr>
      <w:tr w:rsidR="00764B24" w:rsidRPr="00BE05E5" w14:paraId="5572A710" w14:textId="77777777" w:rsidTr="00C7165C">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6FD9EA8D" w14:textId="755BE4EB" w:rsidR="00764B24" w:rsidRPr="00BE05E5" w:rsidRDefault="00764B24"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w:t>
            </w:r>
            <w:r w:rsidR="00D129F5" w:rsidRPr="00BE05E5">
              <w:rPr>
                <w:rFonts w:ascii="Palatino Linotype" w:eastAsia="MS Mincho" w:hAnsi="Palatino Linotype" w:cs="Times New Roman"/>
                <w:sz w:val="18"/>
                <w:szCs w:val="18"/>
                <w:lang w:val="en-US"/>
              </w:rPr>
              <w:t>1</w:t>
            </w:r>
          </w:p>
        </w:tc>
        <w:tc>
          <w:tcPr>
            <w:tcW w:w="2689" w:type="dxa"/>
            <w:tcBorders>
              <w:top w:val="none" w:sz="0" w:space="0" w:color="auto"/>
              <w:bottom w:val="none" w:sz="0" w:space="0" w:color="auto"/>
            </w:tcBorders>
          </w:tcPr>
          <w:p w14:paraId="16080EE6" w14:textId="69C1FF71" w:rsidR="00764B24" w:rsidRPr="00BE05E5" w:rsidRDefault="00764B24"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Chen SC et al. (2009)</w:t>
            </w:r>
          </w:p>
        </w:tc>
        <w:tc>
          <w:tcPr>
            <w:tcW w:w="2136" w:type="dxa"/>
            <w:tcBorders>
              <w:top w:val="none" w:sz="0" w:space="0" w:color="auto"/>
              <w:bottom w:val="none" w:sz="0" w:space="0" w:color="auto"/>
            </w:tcBorders>
          </w:tcPr>
          <w:p w14:paraId="4E3041C7" w14:textId="17014A0E" w:rsidR="00764B24" w:rsidRPr="00BE05E5" w:rsidRDefault="00764B24" w:rsidP="00C7165C">
            <w:pPr>
              <w:widowControl w:val="0"/>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w:t>
            </w:r>
          </w:p>
        </w:tc>
        <w:tc>
          <w:tcPr>
            <w:tcW w:w="17785" w:type="dxa"/>
            <w:tcBorders>
              <w:top w:val="none" w:sz="0" w:space="0" w:color="auto"/>
              <w:bottom w:val="none" w:sz="0" w:space="0" w:color="auto"/>
            </w:tcBorders>
          </w:tcPr>
          <w:p w14:paraId="2C586049" w14:textId="5816DF42" w:rsidR="00764B24" w:rsidRPr="00BE05E5" w:rsidRDefault="00764B24"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 xml:space="preserve">Chen SC, Lai YH, Liao CT, Chang JT, Lin CC. Unmet information needs and preferences in newly diagnosed and surgically treated oral cavity cancer patients. Oral Oncol. 2009; 45(11): 946-52. </w:t>
            </w:r>
          </w:p>
        </w:tc>
      </w:tr>
      <w:tr w:rsidR="007F3AF6" w:rsidRPr="00BE05E5" w14:paraId="01A5B11C" w14:textId="77777777" w:rsidTr="00C7165C">
        <w:trPr>
          <w:trHeight w:val="18"/>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587A6CB" w14:textId="38A7820D" w:rsidR="007F3AF6" w:rsidRPr="00BE05E5" w:rsidRDefault="007F3AF6"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w:t>
            </w:r>
            <w:r w:rsidR="00D129F5" w:rsidRPr="00BE05E5">
              <w:rPr>
                <w:rFonts w:ascii="Palatino Linotype" w:eastAsia="MS Mincho" w:hAnsi="Palatino Linotype" w:cs="Times New Roman"/>
                <w:sz w:val="18"/>
                <w:szCs w:val="18"/>
                <w:lang w:val="en-US"/>
              </w:rPr>
              <w:t>2</w:t>
            </w:r>
          </w:p>
        </w:tc>
        <w:tc>
          <w:tcPr>
            <w:tcW w:w="2689" w:type="dxa"/>
          </w:tcPr>
          <w:p w14:paraId="00168FD8" w14:textId="742B022D" w:rsidR="007F3AF6" w:rsidRPr="00BE05E5" w:rsidRDefault="007F3AF6"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lang w:val="en-US"/>
              </w:rPr>
              <w:t>Satheeshkumar</w:t>
            </w:r>
            <w:proofErr w:type="spellEnd"/>
            <w:r w:rsidRPr="00BE05E5">
              <w:rPr>
                <w:rFonts w:ascii="Palatino Linotype" w:eastAsia="MS Mincho" w:hAnsi="Palatino Linotype" w:cs="Times New Roman"/>
                <w:sz w:val="18"/>
                <w:szCs w:val="18"/>
                <w:lang w:val="en-US"/>
              </w:rPr>
              <w:t>, et al. (2015)</w:t>
            </w:r>
          </w:p>
        </w:tc>
        <w:tc>
          <w:tcPr>
            <w:tcW w:w="2136" w:type="dxa"/>
          </w:tcPr>
          <w:p w14:paraId="7C98F9A0" w14:textId="53628321" w:rsidR="007F3AF6" w:rsidRPr="00BE05E5" w:rsidRDefault="00816DA8" w:rsidP="00C7165C">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4</w:t>
            </w:r>
          </w:p>
        </w:tc>
        <w:tc>
          <w:tcPr>
            <w:tcW w:w="17785" w:type="dxa"/>
          </w:tcPr>
          <w:p w14:paraId="13AD7D1E" w14:textId="7904ECF6" w:rsidR="007F3AF6" w:rsidRPr="00BE05E5" w:rsidRDefault="007F3AF6" w:rsidP="00C7165C">
            <w:pPr>
              <w:widowControl w:val="0"/>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lang w:val="en-US"/>
              </w:rPr>
              <w:t>Satheeshkumar</w:t>
            </w:r>
            <w:proofErr w:type="spellEnd"/>
            <w:r w:rsidRPr="00BE05E5">
              <w:rPr>
                <w:rFonts w:ascii="Palatino Linotype" w:eastAsia="MS Mincho" w:hAnsi="Palatino Linotype" w:cs="Times New Roman"/>
                <w:sz w:val="18"/>
                <w:szCs w:val="18"/>
                <w:lang w:val="en-US"/>
              </w:rPr>
              <w:t>, P. S.; Mohan, M. P. Unmet needs in oral precancerous patients in dental oncology department. Head and Neck. 2015; 37: E71.</w:t>
            </w:r>
          </w:p>
        </w:tc>
      </w:tr>
      <w:tr w:rsidR="00357FB5" w:rsidRPr="00BE05E5" w14:paraId="527156C6" w14:textId="77777777" w:rsidTr="00C7165C">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auto"/>
          </w:tcPr>
          <w:p w14:paraId="1413DAA5" w14:textId="54FB561E" w:rsidR="00357FB5" w:rsidRPr="00BE05E5" w:rsidRDefault="00357FB5" w:rsidP="00C7165C">
            <w:pPr>
              <w:widowControl w:val="0"/>
              <w:numPr>
                <w:ilvl w:val="0"/>
                <w:numId w:val="1"/>
              </w:numPr>
              <w:autoSpaceDE w:val="0"/>
              <w:autoSpaceDN w:val="0"/>
              <w:adjustRightInd w:val="0"/>
              <w:spacing w:line="360" w:lineRule="auto"/>
              <w:ind w:left="-90"/>
              <w:contextualSpacing/>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13</w:t>
            </w:r>
          </w:p>
        </w:tc>
        <w:tc>
          <w:tcPr>
            <w:tcW w:w="2689" w:type="dxa"/>
            <w:tcBorders>
              <w:top w:val="none" w:sz="0" w:space="0" w:color="auto"/>
              <w:bottom w:val="none" w:sz="0" w:space="0" w:color="auto"/>
            </w:tcBorders>
          </w:tcPr>
          <w:p w14:paraId="58B7A1AA" w14:textId="7C08A92E" w:rsidR="00357FB5" w:rsidRPr="00BE05E5" w:rsidRDefault="00357FB5"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lang w:val="en-US"/>
              </w:rPr>
              <w:t>Awojobi</w:t>
            </w:r>
            <w:proofErr w:type="spellEnd"/>
            <w:r w:rsidRPr="00BE05E5">
              <w:rPr>
                <w:rFonts w:ascii="Palatino Linotype" w:eastAsia="MS Mincho" w:hAnsi="Palatino Linotype" w:cs="Times New Roman"/>
                <w:sz w:val="18"/>
                <w:szCs w:val="18"/>
                <w:lang w:val="en-US"/>
              </w:rPr>
              <w:t xml:space="preserve"> O et al. (2016)</w:t>
            </w:r>
          </w:p>
        </w:tc>
        <w:tc>
          <w:tcPr>
            <w:tcW w:w="2136" w:type="dxa"/>
            <w:tcBorders>
              <w:top w:val="none" w:sz="0" w:space="0" w:color="auto"/>
              <w:bottom w:val="none" w:sz="0" w:space="0" w:color="auto"/>
            </w:tcBorders>
          </w:tcPr>
          <w:p w14:paraId="17C1D9AA" w14:textId="734F5214" w:rsidR="00357FB5" w:rsidRPr="00BE05E5" w:rsidRDefault="00357FB5" w:rsidP="00C7165C">
            <w:pPr>
              <w:widowControl w:val="0"/>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r w:rsidRPr="00BE05E5">
              <w:rPr>
                <w:rFonts w:ascii="Palatino Linotype" w:eastAsia="MS Mincho" w:hAnsi="Palatino Linotype" w:cs="Times New Roman"/>
                <w:sz w:val="18"/>
                <w:szCs w:val="18"/>
                <w:lang w:val="en-US"/>
              </w:rPr>
              <w:t>1</w:t>
            </w:r>
          </w:p>
        </w:tc>
        <w:tc>
          <w:tcPr>
            <w:tcW w:w="17785" w:type="dxa"/>
            <w:tcBorders>
              <w:top w:val="none" w:sz="0" w:space="0" w:color="auto"/>
              <w:bottom w:val="none" w:sz="0" w:space="0" w:color="auto"/>
            </w:tcBorders>
          </w:tcPr>
          <w:p w14:paraId="02C81F9C" w14:textId="55EC18C0" w:rsidR="00357FB5" w:rsidRPr="00BE05E5" w:rsidRDefault="00357FB5" w:rsidP="00C7165C">
            <w:pPr>
              <w:widowControl w:val="0"/>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Palatino Linotype" w:eastAsia="MS Mincho" w:hAnsi="Palatino Linotype" w:cs="Times New Roman"/>
                <w:sz w:val="18"/>
                <w:szCs w:val="18"/>
                <w:lang w:val="en-US"/>
              </w:rPr>
            </w:pPr>
            <w:proofErr w:type="spellStart"/>
            <w:r w:rsidRPr="00BE05E5">
              <w:rPr>
                <w:rFonts w:ascii="Palatino Linotype" w:eastAsia="MS Mincho" w:hAnsi="Palatino Linotype" w:cs="Times New Roman"/>
                <w:sz w:val="18"/>
                <w:szCs w:val="18"/>
                <w:lang w:val="en-US"/>
              </w:rPr>
              <w:t>Awojobi</w:t>
            </w:r>
            <w:proofErr w:type="spellEnd"/>
            <w:r w:rsidRPr="00BE05E5">
              <w:rPr>
                <w:rFonts w:ascii="Palatino Linotype" w:eastAsia="MS Mincho" w:hAnsi="Palatino Linotype" w:cs="Times New Roman"/>
                <w:sz w:val="18"/>
                <w:szCs w:val="18"/>
                <w:lang w:val="en-US"/>
              </w:rPr>
              <w:t xml:space="preserve"> O, Newton JT, Scott SE. Pilot study to train dentists to communicate about oral cancer: the impact on dentists' self-reported </w:t>
            </w:r>
            <w:proofErr w:type="spellStart"/>
            <w:r w:rsidRPr="00BE05E5">
              <w:rPr>
                <w:rFonts w:ascii="Palatino Linotype" w:eastAsia="MS Mincho" w:hAnsi="Palatino Linotype" w:cs="Times New Roman"/>
                <w:sz w:val="18"/>
                <w:szCs w:val="18"/>
                <w:lang w:val="en-US"/>
              </w:rPr>
              <w:t>behaviour</w:t>
            </w:r>
            <w:proofErr w:type="spellEnd"/>
            <w:r w:rsidRPr="00BE05E5">
              <w:rPr>
                <w:rFonts w:ascii="Palatino Linotype" w:eastAsia="MS Mincho" w:hAnsi="Palatino Linotype" w:cs="Times New Roman"/>
                <w:sz w:val="18"/>
                <w:szCs w:val="18"/>
                <w:lang w:val="en-US"/>
              </w:rPr>
              <w:t xml:space="preserve">, confidence and beliefs. Br Dent J. 2016; 220(2):71-6. </w:t>
            </w:r>
          </w:p>
        </w:tc>
      </w:tr>
    </w:tbl>
    <w:p w14:paraId="16623E42" w14:textId="2F142F18" w:rsidR="00816DA8" w:rsidRPr="00BE05E5" w:rsidRDefault="00F41907" w:rsidP="00847223">
      <w:pPr>
        <w:spacing w:line="240" w:lineRule="auto"/>
        <w:jc w:val="both"/>
        <w:rPr>
          <w:rFonts w:ascii="Palatino Linotype" w:hAnsi="Palatino Linotype" w:cs="Times New Roman"/>
          <w:sz w:val="18"/>
          <w:szCs w:val="18"/>
          <w:lang w:val="en-US"/>
        </w:rPr>
      </w:pPr>
      <w:r w:rsidRPr="00BE05E5">
        <w:rPr>
          <w:rFonts w:ascii="Palatino Linotype" w:hAnsi="Palatino Linotype" w:cs="Times New Roman"/>
          <w:b/>
          <w:sz w:val="18"/>
          <w:szCs w:val="18"/>
          <w:lang w:val="en-US"/>
        </w:rPr>
        <w:t>Legend:</w:t>
      </w:r>
      <w:r w:rsidRPr="00BE05E5">
        <w:rPr>
          <w:rFonts w:ascii="Palatino Linotype" w:hAnsi="Palatino Linotype" w:cs="Times New Roman"/>
          <w:sz w:val="18"/>
          <w:szCs w:val="18"/>
          <w:lang w:val="en-US"/>
        </w:rPr>
        <w:t xml:space="preserve"> </w:t>
      </w:r>
      <w:bookmarkStart w:id="2" w:name="_Hlk88769321"/>
      <w:r w:rsidR="00816DA8" w:rsidRPr="00BE05E5">
        <w:rPr>
          <w:rFonts w:ascii="Palatino Linotype" w:hAnsi="Palatino Linotype" w:cs="Times New Roman"/>
          <w:sz w:val="18"/>
          <w:szCs w:val="18"/>
          <w:lang w:val="en-US"/>
        </w:rPr>
        <w:t xml:space="preserve">(1) studies of oral conditions other than OPMD; (2) potentially malignant conditions in anatomical sites other than the oral cavity; (3) clinical trials focused only on screening, risk factors, diagnosis or diagnostic test accuracy, and treatment of OPMD; (4) laboratory research with animal experimentation and </w:t>
      </w:r>
      <w:r w:rsidR="00816DA8" w:rsidRPr="00BE05E5">
        <w:rPr>
          <w:rFonts w:ascii="Palatino Linotype" w:hAnsi="Palatino Linotype" w:cs="Times New Roman"/>
          <w:i/>
          <w:iCs/>
          <w:sz w:val="18"/>
          <w:szCs w:val="18"/>
          <w:lang w:val="en-US"/>
        </w:rPr>
        <w:t>in vitro</w:t>
      </w:r>
      <w:r w:rsidR="00816DA8" w:rsidRPr="00BE05E5">
        <w:rPr>
          <w:rFonts w:ascii="Palatino Linotype" w:hAnsi="Palatino Linotype" w:cs="Times New Roman"/>
          <w:sz w:val="18"/>
          <w:szCs w:val="18"/>
          <w:lang w:val="en-US"/>
        </w:rPr>
        <w:t xml:space="preserve"> studies, conference abstracts, posters, book chapters, and full-text not available; (5) overlapping information, we included the most recently reported or those providing more data</w:t>
      </w:r>
      <w:bookmarkEnd w:id="2"/>
      <w:r w:rsidR="00816DA8" w:rsidRPr="00BE05E5">
        <w:rPr>
          <w:rFonts w:ascii="Palatino Linotype" w:hAnsi="Palatino Linotype" w:cs="Times New Roman"/>
          <w:sz w:val="18"/>
          <w:szCs w:val="18"/>
          <w:lang w:val="en-US"/>
        </w:rPr>
        <w:t>.</w:t>
      </w:r>
    </w:p>
    <w:p w14:paraId="6116983C" w14:textId="272A21DF" w:rsidR="00DA286A" w:rsidRPr="00BE05E5" w:rsidRDefault="00DA286A" w:rsidP="00816DA8">
      <w:pPr>
        <w:rPr>
          <w:rFonts w:ascii="Palatino Linotype" w:hAnsi="Palatino Linotype" w:cs="Times New Roman"/>
          <w:b/>
          <w:sz w:val="18"/>
          <w:szCs w:val="18"/>
          <w:lang w:val="en-US"/>
        </w:rPr>
      </w:pPr>
    </w:p>
    <w:p w14:paraId="7A6A0840" w14:textId="77777777" w:rsidR="003974C4" w:rsidRPr="00BE05E5" w:rsidRDefault="003974C4" w:rsidP="00F41907">
      <w:pPr>
        <w:rPr>
          <w:rFonts w:ascii="Palatino Linotype" w:hAnsi="Palatino Linotype" w:cs="Times New Roman"/>
          <w:b/>
          <w:sz w:val="18"/>
          <w:szCs w:val="18"/>
          <w:lang w:val="en-US"/>
        </w:rPr>
      </w:pPr>
    </w:p>
    <w:sectPr w:rsidR="003974C4" w:rsidRPr="00BE05E5" w:rsidSect="00841F64">
      <w:pgSz w:w="24480" w:h="15840" w:orient="landscape" w:code="3"/>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4D7"/>
    <w:multiLevelType w:val="hybridMultilevel"/>
    <w:tmpl w:val="DC9876D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184E1016"/>
    <w:multiLevelType w:val="hybridMultilevel"/>
    <w:tmpl w:val="1908B4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EF83C05"/>
    <w:multiLevelType w:val="hybridMultilevel"/>
    <w:tmpl w:val="C50CD492"/>
    <w:lvl w:ilvl="0" w:tplc="C7C0ABA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82E1C78"/>
    <w:multiLevelType w:val="hybridMultilevel"/>
    <w:tmpl w:val="E64ED77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F243EC7"/>
    <w:multiLevelType w:val="hybridMultilevel"/>
    <w:tmpl w:val="1B1C43B2"/>
    <w:lvl w:ilvl="0" w:tplc="0416000F">
      <w:start w:val="1"/>
      <w:numFmt w:val="decimal"/>
      <w:lvlText w:val="%1."/>
      <w:lvlJc w:val="left"/>
      <w:pPr>
        <w:ind w:left="1636"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82C244A"/>
    <w:multiLevelType w:val="hybridMultilevel"/>
    <w:tmpl w:val="BAB09B1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422828B0"/>
    <w:multiLevelType w:val="hybridMultilevel"/>
    <w:tmpl w:val="26F60D0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50883BA2"/>
    <w:multiLevelType w:val="hybridMultilevel"/>
    <w:tmpl w:val="A62A405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8" w15:restartNumberingAfterBreak="0">
    <w:nsid w:val="5559703F"/>
    <w:multiLevelType w:val="hybridMultilevel"/>
    <w:tmpl w:val="CA76B20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F4D3EFF"/>
    <w:multiLevelType w:val="hybridMultilevel"/>
    <w:tmpl w:val="E4680E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88625439">
    <w:abstractNumId w:val="4"/>
  </w:num>
  <w:num w:numId="2" w16cid:durableId="1354459873">
    <w:abstractNumId w:val="2"/>
  </w:num>
  <w:num w:numId="3" w16cid:durableId="1595480471">
    <w:abstractNumId w:val="3"/>
  </w:num>
  <w:num w:numId="4" w16cid:durableId="1183514900">
    <w:abstractNumId w:val="1"/>
  </w:num>
  <w:num w:numId="5" w16cid:durableId="1399281531">
    <w:abstractNumId w:val="7"/>
  </w:num>
  <w:num w:numId="6" w16cid:durableId="1168012995">
    <w:abstractNumId w:val="5"/>
  </w:num>
  <w:num w:numId="7" w16cid:durableId="735470390">
    <w:abstractNumId w:val="6"/>
  </w:num>
  <w:num w:numId="8" w16cid:durableId="350112564">
    <w:abstractNumId w:val="8"/>
  </w:num>
  <w:num w:numId="9" w16cid:durableId="2019961479">
    <w:abstractNumId w:val="0"/>
  </w:num>
  <w:num w:numId="10" w16cid:durableId="15965921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F64"/>
    <w:rsid w:val="00010454"/>
    <w:rsid w:val="00014127"/>
    <w:rsid w:val="00017061"/>
    <w:rsid w:val="00020FED"/>
    <w:rsid w:val="00024271"/>
    <w:rsid w:val="00025663"/>
    <w:rsid w:val="000416A3"/>
    <w:rsid w:val="000518EC"/>
    <w:rsid w:val="000744E9"/>
    <w:rsid w:val="000763BA"/>
    <w:rsid w:val="00082195"/>
    <w:rsid w:val="00086786"/>
    <w:rsid w:val="00087ED6"/>
    <w:rsid w:val="000D2797"/>
    <w:rsid w:val="000D7149"/>
    <w:rsid w:val="000F04EA"/>
    <w:rsid w:val="0010760D"/>
    <w:rsid w:val="00114763"/>
    <w:rsid w:val="001164F9"/>
    <w:rsid w:val="001171AE"/>
    <w:rsid w:val="00126D84"/>
    <w:rsid w:val="00140709"/>
    <w:rsid w:val="0015040B"/>
    <w:rsid w:val="0015442E"/>
    <w:rsid w:val="00181945"/>
    <w:rsid w:val="0018586B"/>
    <w:rsid w:val="00186258"/>
    <w:rsid w:val="001B49FB"/>
    <w:rsid w:val="001F3E98"/>
    <w:rsid w:val="0022377C"/>
    <w:rsid w:val="00235C32"/>
    <w:rsid w:val="00260217"/>
    <w:rsid w:val="00263AA5"/>
    <w:rsid w:val="002A4339"/>
    <w:rsid w:val="002C0DF1"/>
    <w:rsid w:val="002C1AA4"/>
    <w:rsid w:val="002C72AA"/>
    <w:rsid w:val="002D6D19"/>
    <w:rsid w:val="002E22AA"/>
    <w:rsid w:val="002E5E5F"/>
    <w:rsid w:val="0030388F"/>
    <w:rsid w:val="00303A64"/>
    <w:rsid w:val="003102CE"/>
    <w:rsid w:val="00315293"/>
    <w:rsid w:val="0032261A"/>
    <w:rsid w:val="0034613E"/>
    <w:rsid w:val="00357FB5"/>
    <w:rsid w:val="003626E3"/>
    <w:rsid w:val="00377682"/>
    <w:rsid w:val="003974C4"/>
    <w:rsid w:val="003A433E"/>
    <w:rsid w:val="003D1E25"/>
    <w:rsid w:val="003E7B3D"/>
    <w:rsid w:val="003F6C8C"/>
    <w:rsid w:val="00403629"/>
    <w:rsid w:val="00403F7D"/>
    <w:rsid w:val="00421AC3"/>
    <w:rsid w:val="00423022"/>
    <w:rsid w:val="00430BEF"/>
    <w:rsid w:val="004962F0"/>
    <w:rsid w:val="004B4070"/>
    <w:rsid w:val="004F1A0C"/>
    <w:rsid w:val="00500AB7"/>
    <w:rsid w:val="00500BF2"/>
    <w:rsid w:val="00512CF5"/>
    <w:rsid w:val="00514D7A"/>
    <w:rsid w:val="00547D71"/>
    <w:rsid w:val="00585952"/>
    <w:rsid w:val="00594296"/>
    <w:rsid w:val="005A0F84"/>
    <w:rsid w:val="005B2C67"/>
    <w:rsid w:val="005B4A9A"/>
    <w:rsid w:val="005B7C3D"/>
    <w:rsid w:val="005B7D48"/>
    <w:rsid w:val="005D2C8E"/>
    <w:rsid w:val="005D322D"/>
    <w:rsid w:val="005E06DB"/>
    <w:rsid w:val="005E14F3"/>
    <w:rsid w:val="006126EF"/>
    <w:rsid w:val="00635CAF"/>
    <w:rsid w:val="00656779"/>
    <w:rsid w:val="006753FB"/>
    <w:rsid w:val="00685FE2"/>
    <w:rsid w:val="006A132C"/>
    <w:rsid w:val="006A6D1F"/>
    <w:rsid w:val="006B2362"/>
    <w:rsid w:val="006B2D5C"/>
    <w:rsid w:val="006D7FE2"/>
    <w:rsid w:val="006F44D5"/>
    <w:rsid w:val="006F6E2F"/>
    <w:rsid w:val="00707F90"/>
    <w:rsid w:val="00732C31"/>
    <w:rsid w:val="00764B24"/>
    <w:rsid w:val="00794987"/>
    <w:rsid w:val="007A1038"/>
    <w:rsid w:val="007F3AF6"/>
    <w:rsid w:val="00804667"/>
    <w:rsid w:val="00816DA8"/>
    <w:rsid w:val="00827297"/>
    <w:rsid w:val="00834063"/>
    <w:rsid w:val="00841F64"/>
    <w:rsid w:val="00847223"/>
    <w:rsid w:val="00861233"/>
    <w:rsid w:val="00876B82"/>
    <w:rsid w:val="008807AD"/>
    <w:rsid w:val="008B6584"/>
    <w:rsid w:val="008B783E"/>
    <w:rsid w:val="008C75F4"/>
    <w:rsid w:val="008D5EAB"/>
    <w:rsid w:val="008E10F4"/>
    <w:rsid w:val="00905B59"/>
    <w:rsid w:val="00906FDC"/>
    <w:rsid w:val="00911D1B"/>
    <w:rsid w:val="00913F2D"/>
    <w:rsid w:val="0093140C"/>
    <w:rsid w:val="00941DB9"/>
    <w:rsid w:val="00972C50"/>
    <w:rsid w:val="0099691D"/>
    <w:rsid w:val="009A1576"/>
    <w:rsid w:val="009B6E36"/>
    <w:rsid w:val="009C7468"/>
    <w:rsid w:val="009D68A3"/>
    <w:rsid w:val="009D7148"/>
    <w:rsid w:val="00A028A7"/>
    <w:rsid w:val="00A0591F"/>
    <w:rsid w:val="00A1515F"/>
    <w:rsid w:val="00A33B4B"/>
    <w:rsid w:val="00A3451E"/>
    <w:rsid w:val="00A51374"/>
    <w:rsid w:val="00A668D0"/>
    <w:rsid w:val="00AB3E03"/>
    <w:rsid w:val="00AE5336"/>
    <w:rsid w:val="00B270AE"/>
    <w:rsid w:val="00B54842"/>
    <w:rsid w:val="00B60CCF"/>
    <w:rsid w:val="00B65832"/>
    <w:rsid w:val="00B8208A"/>
    <w:rsid w:val="00B853DC"/>
    <w:rsid w:val="00B948EC"/>
    <w:rsid w:val="00BC4ED1"/>
    <w:rsid w:val="00BE05E5"/>
    <w:rsid w:val="00BE5756"/>
    <w:rsid w:val="00C23CEC"/>
    <w:rsid w:val="00C254A3"/>
    <w:rsid w:val="00C269AE"/>
    <w:rsid w:val="00C35FCA"/>
    <w:rsid w:val="00C360BA"/>
    <w:rsid w:val="00C42155"/>
    <w:rsid w:val="00C449CB"/>
    <w:rsid w:val="00C65ACC"/>
    <w:rsid w:val="00C7165C"/>
    <w:rsid w:val="00C7405D"/>
    <w:rsid w:val="00C824FC"/>
    <w:rsid w:val="00CA55BD"/>
    <w:rsid w:val="00CB1C72"/>
    <w:rsid w:val="00CC4538"/>
    <w:rsid w:val="00CE1177"/>
    <w:rsid w:val="00CE7208"/>
    <w:rsid w:val="00CF4B63"/>
    <w:rsid w:val="00D073B1"/>
    <w:rsid w:val="00D11489"/>
    <w:rsid w:val="00D129F5"/>
    <w:rsid w:val="00D27511"/>
    <w:rsid w:val="00D61B46"/>
    <w:rsid w:val="00D65A45"/>
    <w:rsid w:val="00D764E3"/>
    <w:rsid w:val="00D93025"/>
    <w:rsid w:val="00DA286A"/>
    <w:rsid w:val="00DC47E3"/>
    <w:rsid w:val="00DD1F4E"/>
    <w:rsid w:val="00DF0CB6"/>
    <w:rsid w:val="00DF50A2"/>
    <w:rsid w:val="00E06BBC"/>
    <w:rsid w:val="00E13DFB"/>
    <w:rsid w:val="00E4476D"/>
    <w:rsid w:val="00E66D7D"/>
    <w:rsid w:val="00EA0B97"/>
    <w:rsid w:val="00EA4A94"/>
    <w:rsid w:val="00EC3090"/>
    <w:rsid w:val="00ED3456"/>
    <w:rsid w:val="00F0265A"/>
    <w:rsid w:val="00F37280"/>
    <w:rsid w:val="00F41907"/>
    <w:rsid w:val="00F51326"/>
    <w:rsid w:val="00FA4A97"/>
    <w:rsid w:val="00FA61D4"/>
    <w:rsid w:val="00FB2C8D"/>
    <w:rsid w:val="00FC42B3"/>
    <w:rsid w:val="00FC5EA6"/>
    <w:rsid w:val="00FE2205"/>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085C1"/>
  <w15:chartTrackingRefBased/>
  <w15:docId w15:val="{0CD304B8-3FF3-41FC-BFA4-6831CA07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841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841F64"/>
    <w:rPr>
      <w:sz w:val="16"/>
      <w:szCs w:val="16"/>
    </w:rPr>
  </w:style>
  <w:style w:type="paragraph" w:styleId="Textodecomentrio">
    <w:name w:val="annotation text"/>
    <w:basedOn w:val="Normal"/>
    <w:link w:val="TextodecomentrioChar"/>
    <w:uiPriority w:val="99"/>
    <w:unhideWhenUsed/>
    <w:rsid w:val="00841F64"/>
    <w:pPr>
      <w:spacing w:line="240" w:lineRule="auto"/>
    </w:pPr>
    <w:rPr>
      <w:sz w:val="20"/>
      <w:szCs w:val="20"/>
    </w:rPr>
  </w:style>
  <w:style w:type="character" w:customStyle="1" w:styleId="TextodecomentrioChar">
    <w:name w:val="Texto de comentário Char"/>
    <w:basedOn w:val="Fontepargpadro"/>
    <w:link w:val="Textodecomentrio"/>
    <w:uiPriority w:val="99"/>
    <w:rsid w:val="00841F64"/>
    <w:rPr>
      <w:sz w:val="20"/>
      <w:szCs w:val="20"/>
    </w:rPr>
  </w:style>
  <w:style w:type="paragraph" w:styleId="Textodebalo">
    <w:name w:val="Balloon Text"/>
    <w:basedOn w:val="Normal"/>
    <w:link w:val="TextodebaloChar"/>
    <w:uiPriority w:val="99"/>
    <w:semiHidden/>
    <w:unhideWhenUsed/>
    <w:rsid w:val="00841F6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41F64"/>
    <w:rPr>
      <w:rFonts w:ascii="Segoe UI" w:hAnsi="Segoe UI" w:cs="Segoe UI"/>
      <w:sz w:val="18"/>
      <w:szCs w:val="18"/>
    </w:rPr>
  </w:style>
  <w:style w:type="table" w:customStyle="1" w:styleId="PlainTable21">
    <w:name w:val="Plain Table 21"/>
    <w:basedOn w:val="Tabelanormal"/>
    <w:uiPriority w:val="42"/>
    <w:rsid w:val="00D27511"/>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PargrafodaLista">
    <w:name w:val="List Paragraph"/>
    <w:basedOn w:val="Normal"/>
    <w:uiPriority w:val="34"/>
    <w:qFormat/>
    <w:rsid w:val="009D7148"/>
    <w:pPr>
      <w:ind w:left="720"/>
      <w:contextualSpacing/>
    </w:pPr>
  </w:style>
  <w:style w:type="paragraph" w:styleId="Assuntodocomentrio">
    <w:name w:val="annotation subject"/>
    <w:basedOn w:val="Textodecomentrio"/>
    <w:next w:val="Textodecomentrio"/>
    <w:link w:val="AssuntodocomentrioChar"/>
    <w:uiPriority w:val="99"/>
    <w:semiHidden/>
    <w:unhideWhenUsed/>
    <w:rsid w:val="002C0DF1"/>
    <w:rPr>
      <w:b/>
      <w:bCs/>
    </w:rPr>
  </w:style>
  <w:style w:type="character" w:customStyle="1" w:styleId="AssuntodocomentrioChar">
    <w:name w:val="Assunto do comentário Char"/>
    <w:basedOn w:val="TextodecomentrioChar"/>
    <w:link w:val="Assuntodocomentrio"/>
    <w:uiPriority w:val="99"/>
    <w:semiHidden/>
    <w:rsid w:val="002C0DF1"/>
    <w:rPr>
      <w:b/>
      <w:bCs/>
      <w:sz w:val="20"/>
      <w:szCs w:val="20"/>
    </w:rPr>
  </w:style>
  <w:style w:type="paragraph" w:styleId="Reviso">
    <w:name w:val="Revision"/>
    <w:hidden/>
    <w:uiPriority w:val="99"/>
    <w:semiHidden/>
    <w:rsid w:val="00BC4E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774682">
      <w:bodyDiv w:val="1"/>
      <w:marLeft w:val="0"/>
      <w:marRight w:val="0"/>
      <w:marTop w:val="0"/>
      <w:marBottom w:val="0"/>
      <w:divBdr>
        <w:top w:val="none" w:sz="0" w:space="0" w:color="auto"/>
        <w:left w:val="none" w:sz="0" w:space="0" w:color="auto"/>
        <w:bottom w:val="none" w:sz="0" w:space="0" w:color="auto"/>
        <w:right w:val="none" w:sz="0" w:space="0" w:color="auto"/>
      </w:divBdr>
      <w:divsChild>
        <w:div w:id="2029481333">
          <w:marLeft w:val="0"/>
          <w:marRight w:val="0"/>
          <w:marTop w:val="0"/>
          <w:marBottom w:val="0"/>
          <w:divBdr>
            <w:top w:val="none" w:sz="0" w:space="0" w:color="auto"/>
            <w:left w:val="none" w:sz="0" w:space="0" w:color="auto"/>
            <w:bottom w:val="none" w:sz="0" w:space="0" w:color="auto"/>
            <w:right w:val="none" w:sz="0" w:space="0" w:color="auto"/>
          </w:divBdr>
        </w:div>
        <w:div w:id="504513479">
          <w:marLeft w:val="0"/>
          <w:marRight w:val="0"/>
          <w:marTop w:val="0"/>
          <w:marBottom w:val="0"/>
          <w:divBdr>
            <w:top w:val="none" w:sz="0" w:space="0" w:color="auto"/>
            <w:left w:val="none" w:sz="0" w:space="0" w:color="auto"/>
            <w:bottom w:val="none" w:sz="0" w:space="0" w:color="auto"/>
            <w:right w:val="none" w:sz="0" w:space="0" w:color="auto"/>
          </w:divBdr>
          <w:divsChild>
            <w:div w:id="558784786">
              <w:marLeft w:val="0"/>
              <w:marRight w:val="0"/>
              <w:marTop w:val="0"/>
              <w:marBottom w:val="0"/>
              <w:divBdr>
                <w:top w:val="none" w:sz="0" w:space="0" w:color="auto"/>
                <w:left w:val="none" w:sz="0" w:space="0" w:color="auto"/>
                <w:bottom w:val="none" w:sz="0" w:space="0" w:color="auto"/>
                <w:right w:val="none" w:sz="0" w:space="0" w:color="auto"/>
              </w:divBdr>
              <w:divsChild>
                <w:div w:id="45641266">
                  <w:marLeft w:val="0"/>
                  <w:marRight w:val="0"/>
                  <w:marTop w:val="0"/>
                  <w:marBottom w:val="0"/>
                  <w:divBdr>
                    <w:top w:val="none" w:sz="0" w:space="0" w:color="auto"/>
                    <w:left w:val="none" w:sz="0" w:space="0" w:color="auto"/>
                    <w:bottom w:val="none" w:sz="0" w:space="0" w:color="auto"/>
                    <w:right w:val="none" w:sz="0" w:space="0" w:color="auto"/>
                  </w:divBdr>
                  <w:divsChild>
                    <w:div w:id="33164639">
                      <w:marLeft w:val="0"/>
                      <w:marRight w:val="0"/>
                      <w:marTop w:val="0"/>
                      <w:marBottom w:val="0"/>
                      <w:divBdr>
                        <w:top w:val="none" w:sz="0" w:space="0" w:color="auto"/>
                        <w:left w:val="none" w:sz="0" w:space="0" w:color="auto"/>
                        <w:bottom w:val="none" w:sz="0" w:space="0" w:color="auto"/>
                        <w:right w:val="none" w:sz="0" w:space="0" w:color="auto"/>
                      </w:divBdr>
                      <w:divsChild>
                        <w:div w:id="1483157051">
                          <w:marLeft w:val="0"/>
                          <w:marRight w:val="0"/>
                          <w:marTop w:val="0"/>
                          <w:marBottom w:val="0"/>
                          <w:divBdr>
                            <w:top w:val="none" w:sz="0" w:space="0" w:color="auto"/>
                            <w:left w:val="none" w:sz="0" w:space="0" w:color="auto"/>
                            <w:bottom w:val="none" w:sz="0" w:space="0" w:color="auto"/>
                            <w:right w:val="none" w:sz="0" w:space="0" w:color="auto"/>
                          </w:divBdr>
                          <w:divsChild>
                            <w:div w:id="1601445290">
                              <w:marLeft w:val="0"/>
                              <w:marRight w:val="0"/>
                              <w:marTop w:val="0"/>
                              <w:marBottom w:val="0"/>
                              <w:divBdr>
                                <w:top w:val="none" w:sz="0" w:space="0" w:color="auto"/>
                                <w:left w:val="none" w:sz="0" w:space="0" w:color="auto"/>
                                <w:bottom w:val="none" w:sz="0" w:space="0" w:color="auto"/>
                                <w:right w:val="none" w:sz="0" w:space="0" w:color="auto"/>
                              </w:divBdr>
                              <w:divsChild>
                                <w:div w:id="537813648">
                                  <w:marLeft w:val="0"/>
                                  <w:marRight w:val="0"/>
                                  <w:marTop w:val="0"/>
                                  <w:marBottom w:val="0"/>
                                  <w:divBdr>
                                    <w:top w:val="none" w:sz="0" w:space="0" w:color="auto"/>
                                    <w:left w:val="none" w:sz="0" w:space="0" w:color="auto"/>
                                    <w:bottom w:val="none" w:sz="0" w:space="0" w:color="auto"/>
                                    <w:right w:val="none" w:sz="0" w:space="0" w:color="auto"/>
                                  </w:divBdr>
                                  <w:divsChild>
                                    <w:div w:id="422259826">
                                      <w:marLeft w:val="0"/>
                                      <w:marRight w:val="0"/>
                                      <w:marTop w:val="0"/>
                                      <w:marBottom w:val="0"/>
                                      <w:divBdr>
                                        <w:top w:val="none" w:sz="0" w:space="0" w:color="auto"/>
                                        <w:left w:val="none" w:sz="0" w:space="0" w:color="auto"/>
                                        <w:bottom w:val="none" w:sz="0" w:space="0" w:color="auto"/>
                                        <w:right w:val="none" w:sz="0" w:space="0" w:color="auto"/>
                                      </w:divBdr>
                                      <w:divsChild>
                                        <w:div w:id="14125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325048">
                              <w:marLeft w:val="0"/>
                              <w:marRight w:val="30"/>
                              <w:marTop w:val="0"/>
                              <w:marBottom w:val="0"/>
                              <w:divBdr>
                                <w:top w:val="none" w:sz="0" w:space="0" w:color="auto"/>
                                <w:left w:val="none" w:sz="0" w:space="0" w:color="auto"/>
                                <w:bottom w:val="none" w:sz="0" w:space="0" w:color="auto"/>
                                <w:right w:val="none" w:sz="0" w:space="0" w:color="auto"/>
                              </w:divBdr>
                              <w:divsChild>
                                <w:div w:id="1991248221">
                                  <w:marLeft w:val="0"/>
                                  <w:marRight w:val="0"/>
                                  <w:marTop w:val="0"/>
                                  <w:marBottom w:val="0"/>
                                  <w:divBdr>
                                    <w:top w:val="none" w:sz="0" w:space="0" w:color="auto"/>
                                    <w:left w:val="none" w:sz="0" w:space="0" w:color="auto"/>
                                    <w:bottom w:val="none" w:sz="0" w:space="0" w:color="auto"/>
                                    <w:right w:val="none" w:sz="0" w:space="0" w:color="auto"/>
                                  </w:divBdr>
                                  <w:divsChild>
                                    <w:div w:id="28026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325414">
                          <w:marLeft w:val="0"/>
                          <w:marRight w:val="0"/>
                          <w:marTop w:val="0"/>
                          <w:marBottom w:val="0"/>
                          <w:divBdr>
                            <w:top w:val="none" w:sz="0" w:space="0" w:color="auto"/>
                            <w:left w:val="none" w:sz="0" w:space="0" w:color="auto"/>
                            <w:bottom w:val="none" w:sz="0" w:space="0" w:color="auto"/>
                            <w:right w:val="none" w:sz="0" w:space="0" w:color="auto"/>
                          </w:divBdr>
                          <w:divsChild>
                            <w:div w:id="510680272">
                              <w:marLeft w:val="30"/>
                              <w:marRight w:val="30"/>
                              <w:marTop w:val="30"/>
                              <w:marBottom w:val="30"/>
                              <w:divBdr>
                                <w:top w:val="none" w:sz="0" w:space="0" w:color="auto"/>
                                <w:left w:val="none" w:sz="0" w:space="0" w:color="auto"/>
                                <w:bottom w:val="none" w:sz="0" w:space="0" w:color="auto"/>
                                <w:right w:val="none" w:sz="0" w:space="0" w:color="auto"/>
                              </w:divBdr>
                              <w:divsChild>
                                <w:div w:id="1707488837">
                                  <w:marLeft w:val="0"/>
                                  <w:marRight w:val="0"/>
                                  <w:marTop w:val="0"/>
                                  <w:marBottom w:val="0"/>
                                  <w:divBdr>
                                    <w:top w:val="none" w:sz="0" w:space="0" w:color="auto"/>
                                    <w:left w:val="none" w:sz="0" w:space="0" w:color="auto"/>
                                    <w:bottom w:val="none" w:sz="0" w:space="0" w:color="auto"/>
                                    <w:right w:val="none" w:sz="0" w:space="0" w:color="auto"/>
                                  </w:divBdr>
                                  <w:divsChild>
                                    <w:div w:id="482626408">
                                      <w:marLeft w:val="0"/>
                                      <w:marRight w:val="0"/>
                                      <w:marTop w:val="0"/>
                                      <w:marBottom w:val="0"/>
                                      <w:divBdr>
                                        <w:top w:val="none" w:sz="0" w:space="0" w:color="auto"/>
                                        <w:left w:val="none" w:sz="0" w:space="0" w:color="auto"/>
                                        <w:bottom w:val="none" w:sz="0" w:space="0" w:color="auto"/>
                                        <w:right w:val="none" w:sz="0" w:space="0" w:color="auto"/>
                                      </w:divBdr>
                                      <w:divsChild>
                                        <w:div w:id="467284301">
                                          <w:marLeft w:val="0"/>
                                          <w:marRight w:val="0"/>
                                          <w:marTop w:val="0"/>
                                          <w:marBottom w:val="0"/>
                                          <w:divBdr>
                                            <w:top w:val="none" w:sz="0" w:space="0" w:color="auto"/>
                                            <w:left w:val="none" w:sz="0" w:space="0" w:color="auto"/>
                                            <w:bottom w:val="none" w:sz="0" w:space="0" w:color="auto"/>
                                            <w:right w:val="none" w:sz="0" w:space="0" w:color="auto"/>
                                          </w:divBdr>
                                          <w:divsChild>
                                            <w:div w:id="304315745">
                                              <w:marLeft w:val="0"/>
                                              <w:marRight w:val="0"/>
                                              <w:marTop w:val="0"/>
                                              <w:marBottom w:val="0"/>
                                              <w:divBdr>
                                                <w:top w:val="none" w:sz="0" w:space="0" w:color="auto"/>
                                                <w:left w:val="none" w:sz="0" w:space="0" w:color="auto"/>
                                                <w:bottom w:val="none" w:sz="0" w:space="0" w:color="auto"/>
                                                <w:right w:val="none" w:sz="0" w:space="0" w:color="auto"/>
                                              </w:divBdr>
                                            </w:div>
                                          </w:divsChild>
                                        </w:div>
                                        <w:div w:id="1075082799">
                                          <w:marLeft w:val="0"/>
                                          <w:marRight w:val="0"/>
                                          <w:marTop w:val="0"/>
                                          <w:marBottom w:val="0"/>
                                          <w:divBdr>
                                            <w:top w:val="none" w:sz="0" w:space="0" w:color="auto"/>
                                            <w:left w:val="none" w:sz="0" w:space="0" w:color="auto"/>
                                            <w:bottom w:val="none" w:sz="0" w:space="0" w:color="auto"/>
                                            <w:right w:val="none" w:sz="0" w:space="0" w:color="auto"/>
                                          </w:divBdr>
                                          <w:divsChild>
                                            <w:div w:id="1971126781">
                                              <w:marLeft w:val="0"/>
                                              <w:marRight w:val="0"/>
                                              <w:marTop w:val="0"/>
                                              <w:marBottom w:val="0"/>
                                              <w:divBdr>
                                                <w:top w:val="single" w:sz="6" w:space="0" w:color="FFFFFF"/>
                                                <w:left w:val="single" w:sz="6" w:space="2" w:color="FFFFFF"/>
                                                <w:bottom w:val="single" w:sz="6" w:space="0" w:color="FFFFFF"/>
                                                <w:right w:val="single" w:sz="6" w:space="2" w:color="FFFFFF"/>
                                              </w:divBdr>
                                            </w:div>
                                          </w:divsChild>
                                        </w:div>
                                      </w:divsChild>
                                    </w:div>
                                  </w:divsChild>
                                </w:div>
                              </w:divsChild>
                            </w:div>
                          </w:divsChild>
                        </w:div>
                      </w:divsChild>
                    </w:div>
                  </w:divsChild>
                </w:div>
              </w:divsChild>
            </w:div>
          </w:divsChild>
        </w:div>
      </w:divsChild>
    </w:div>
    <w:div w:id="180002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F88C3-FDE8-4940-A683-24F3F8BC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3068</Words>
  <Characters>16571</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Thaís Pereira</dc:creator>
  <cp:keywords/>
  <dc:description/>
  <cp:lastModifiedBy>Thaís Cristina Esteves Pereira</cp:lastModifiedBy>
  <cp:revision>2</cp:revision>
  <dcterms:created xsi:type="dcterms:W3CDTF">2023-05-22T17:47:00Z</dcterms:created>
  <dcterms:modified xsi:type="dcterms:W3CDTF">2023-05-22T17:47:00Z</dcterms:modified>
</cp:coreProperties>
</file>